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bookmarkStart w:id="0" w:name="_GoBack"/>
      <w:bookmarkEnd w:id="0"/>
      <w:r w:rsidRPr="0013438D">
        <w:rPr>
          <w:rFonts w:ascii="Times New Roman" w:eastAsia="Times New Roman" w:hAnsi="Times New Roman" w:cs="Times New Roman"/>
          <w:b/>
          <w:sz w:val="30"/>
          <w:szCs w:val="30"/>
          <w:lang w:eastAsia="ru-RU"/>
        </w:rPr>
        <w:t xml:space="preserve">Информационные материалы </w:t>
      </w:r>
    </w:p>
    <w:p w:rsid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13438D">
        <w:rPr>
          <w:rFonts w:ascii="Times New Roman" w:eastAsia="Times New Roman" w:hAnsi="Times New Roman" w:cs="Times New Roman"/>
          <w:b/>
          <w:sz w:val="30"/>
          <w:szCs w:val="30"/>
          <w:lang w:eastAsia="ru-RU"/>
        </w:rPr>
        <w:t>к Всемирному дню охраны труда</w:t>
      </w:r>
    </w:p>
    <w:p w:rsidR="0013438D" w:rsidRPr="0013438D" w:rsidRDefault="0013438D" w:rsidP="00985676">
      <w:pPr>
        <w:shd w:val="clear" w:color="auto" w:fill="FFFFFF"/>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28 апреля 2021 года</w:t>
      </w:r>
    </w:p>
    <w:p w:rsidR="0013438D" w:rsidRDefault="0013438D" w:rsidP="00985676">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13438D" w:rsidRDefault="0013438D" w:rsidP="00985676">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985676" w:rsidRPr="00985676" w:rsidRDefault="006B318C" w:rsidP="00985676">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z w:val="30"/>
          <w:szCs w:val="30"/>
          <w:lang w:eastAsia="ru-RU"/>
        </w:rPr>
        <w:t>М</w:t>
      </w:r>
      <w:r w:rsidR="00985676" w:rsidRPr="00985676">
        <w:rPr>
          <w:rFonts w:ascii="Times New Roman" w:eastAsia="Times New Roman" w:hAnsi="Times New Roman" w:cs="Times New Roman"/>
          <w:sz w:val="30"/>
          <w:szCs w:val="30"/>
          <w:lang w:eastAsia="ru-RU"/>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 </w:t>
      </w:r>
    </w:p>
    <w:p w:rsidR="00985676" w:rsidRPr="00985676" w:rsidRDefault="00985676" w:rsidP="00985676">
      <w:pPr>
        <w:spacing w:after="0" w:line="240" w:lineRule="auto"/>
        <w:ind w:left="708" w:firstLine="1"/>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lang w:eastAsia="ru-RU"/>
        </w:rPr>
        <w:br/>
      </w:r>
      <w:r w:rsidRPr="00985676">
        <w:rPr>
          <w:rFonts w:ascii="Times New Roman" w:eastAsia="Times New Roman" w:hAnsi="Times New Roman" w:cs="Times New Roman"/>
          <w:sz w:val="30"/>
          <w:szCs w:val="30"/>
          <w:shd w:val="clear" w:color="auto" w:fill="FFFFFF"/>
          <w:lang w:eastAsia="ru-RU"/>
        </w:rPr>
        <w:t>Тема Всемирного дня охраны труда в 2021 году: </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b/>
          <w:bCs/>
          <w:sz w:val="30"/>
          <w:szCs w:val="30"/>
          <w:shd w:val="clear" w:color="auto" w:fill="FFFFFF"/>
          <w:lang w:eastAsia="ru-RU"/>
        </w:rPr>
        <w:t>Предвидеть кризис и быть готовым к нему – ИНВЕСТИРОВАТЬ СЕЙЧАС В АДЕКВАТНЫЕ СИСТЕМЫ ОХРАНЫ ТРУДА</w:t>
      </w:r>
      <w:r w:rsidRPr="00985676">
        <w:rPr>
          <w:rFonts w:ascii="Times New Roman" w:eastAsia="Times New Roman" w:hAnsi="Times New Roman" w:cs="Times New Roman"/>
          <w:b/>
          <w:bCs/>
          <w:sz w:val="30"/>
          <w:szCs w:val="30"/>
          <w:shd w:val="clear" w:color="auto" w:fill="FFFFFF"/>
          <w:lang w:eastAsia="ru-RU"/>
        </w:rPr>
        <w:br/>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Пандемия COVID-19 поставила правительства, работодателей, работников и все население в целом перед лицом беспрецедентных вызовов, порожденных этим вирусом и его многочисленными последствиями для сферы труда. Всемирный день охраны труда посвящен стратегиям укрепления национальных систем охраны и безопасности труда (ОБТ) в целях повышения их устойчивости перед лицом как нынешнего, так и будущих кризисов, учитывая уроки прошлого и опыт, накопленный в сфере труда.</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Пандемия COVID-19 стала приобретать черты глобального кризиса с начала 2020 года, повсеместно оказывая глубокое влияние. Пандемия затронула практически все аспекты сферы труда, начиная с риска передачи вируса на производстве и заканчивая рисками, касающимися охраны и безопасности труда (ОБТ), которые возникли в результате мер противодействия распространению вируса. Так, переход на новые формы организации труда – например, повсеместное применение удаленного режима работы – принес работникам не только множество новых возможностей, но и потенциальные риски, связанные с ОБТ, в частности, риски психосоциального характера и риски насилия.</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t>Всемирный день охраны труда 2021 посвящен оптимизации элементов системы ОБТ, как это предусмотрено Конвенций 2006 года об основах, содействующих безопасности и гигиене труда (№ 187). В докладе ко Всемирному дню охраны труда рассматривается, как нынешний кризис высветил важность укреплять системы ОБТ, в том числе медицинские службы, одновременно на национальном уровне и на уровне предприятий.</w:t>
      </w:r>
    </w:p>
    <w:p w:rsidR="00581DB0"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985676">
        <w:rPr>
          <w:rFonts w:ascii="Times New Roman" w:eastAsia="Times New Roman" w:hAnsi="Times New Roman" w:cs="Times New Roman"/>
          <w:sz w:val="30"/>
          <w:szCs w:val="30"/>
          <w:shd w:val="clear" w:color="auto" w:fill="FFFFFF"/>
          <w:lang w:eastAsia="ru-RU"/>
        </w:rPr>
        <w:lastRenderedPageBreak/>
        <w:t>МОТ использует Всемирный день охраны труда для того, чтобы привлечь внимание к этой теме и стимулировать диалог о значении создания адекватных систем ОБТ и инвестиций в них, привлекая для этого опыт противодействия и предотвращения распространения COVID-19 на производстве, накопленный в различных странах и регионах.</w:t>
      </w:r>
    </w:p>
    <w:p w:rsidR="00985676" w:rsidRPr="006B318C" w:rsidRDefault="00985676" w:rsidP="00985676">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BC3B39" w:rsidRPr="001A2A86" w:rsidRDefault="001A2A86" w:rsidP="001A2A86">
      <w:pPr>
        <w:spacing w:after="0" w:line="240" w:lineRule="auto"/>
        <w:jc w:val="both"/>
        <w:rPr>
          <w:rFonts w:ascii="Times New Roman" w:eastAsia="Times New Roman" w:hAnsi="Times New Roman" w:cs="Times New Roman"/>
          <w:bCs/>
          <w:sz w:val="30"/>
          <w:szCs w:val="30"/>
          <w:shd w:val="clear" w:color="auto" w:fill="FFFFFF"/>
          <w:lang w:eastAsia="ru-RU"/>
        </w:rPr>
      </w:pPr>
      <w:r w:rsidRPr="001A2A86">
        <w:rPr>
          <w:rFonts w:ascii="Times New Roman" w:eastAsia="Times New Roman" w:hAnsi="Times New Roman" w:cs="Times New Roman"/>
          <w:bCs/>
          <w:sz w:val="30"/>
          <w:szCs w:val="30"/>
          <w:shd w:val="clear" w:color="auto" w:fill="FFFFFF"/>
          <w:lang w:eastAsia="ru-RU"/>
        </w:rPr>
        <w:tab/>
        <w:t>Проблемы, связанные с распространением COVID-19</w:t>
      </w:r>
      <w:r>
        <w:rPr>
          <w:rFonts w:ascii="Times New Roman" w:eastAsia="Times New Roman" w:hAnsi="Times New Roman" w:cs="Times New Roman"/>
          <w:bCs/>
          <w:sz w:val="30"/>
          <w:szCs w:val="30"/>
          <w:shd w:val="clear" w:color="auto" w:fill="FFFFFF"/>
          <w:lang w:eastAsia="ru-RU"/>
        </w:rPr>
        <w:t xml:space="preserve">, не обошли и </w:t>
      </w:r>
      <w:r w:rsidR="009D25AA">
        <w:rPr>
          <w:rFonts w:ascii="Times New Roman" w:eastAsia="Times New Roman" w:hAnsi="Times New Roman" w:cs="Times New Roman"/>
          <w:bCs/>
          <w:sz w:val="30"/>
          <w:szCs w:val="30"/>
          <w:shd w:val="clear" w:color="auto" w:fill="FFFFFF"/>
          <w:lang w:eastAsia="ru-RU"/>
        </w:rPr>
        <w:t>Республику Беларусь</w:t>
      </w:r>
      <w:r>
        <w:rPr>
          <w:rFonts w:ascii="Times New Roman" w:eastAsia="Times New Roman" w:hAnsi="Times New Roman" w:cs="Times New Roman"/>
          <w:bCs/>
          <w:sz w:val="30"/>
          <w:szCs w:val="30"/>
          <w:shd w:val="clear" w:color="auto" w:fill="FFFFFF"/>
          <w:lang w:eastAsia="ru-RU"/>
        </w:rPr>
        <w:t>.</w:t>
      </w:r>
      <w:r w:rsidR="0013438D">
        <w:rPr>
          <w:rFonts w:ascii="Times New Roman" w:eastAsia="Times New Roman" w:hAnsi="Times New Roman" w:cs="Times New Roman"/>
          <w:bCs/>
          <w:sz w:val="30"/>
          <w:szCs w:val="30"/>
          <w:shd w:val="clear" w:color="auto" w:fill="FFFFFF"/>
          <w:lang w:eastAsia="ru-RU"/>
        </w:rPr>
        <w:t xml:space="preserve"> </w:t>
      </w:r>
      <w:r w:rsidR="009D25AA">
        <w:rPr>
          <w:rFonts w:ascii="Times New Roman" w:eastAsia="Times New Roman" w:hAnsi="Times New Roman" w:cs="Times New Roman"/>
          <w:bCs/>
          <w:sz w:val="30"/>
          <w:szCs w:val="30"/>
          <w:shd w:val="clear" w:color="auto" w:fill="FFFFFF"/>
          <w:lang w:eastAsia="ru-RU"/>
        </w:rPr>
        <w:t>Для минимизации последствий пандемии г</w:t>
      </w:r>
      <w:r w:rsidR="0013438D">
        <w:rPr>
          <w:rFonts w:ascii="Times New Roman" w:eastAsia="Times New Roman" w:hAnsi="Times New Roman" w:cs="Times New Roman"/>
          <w:bCs/>
          <w:sz w:val="30"/>
          <w:szCs w:val="30"/>
          <w:shd w:val="clear" w:color="auto" w:fill="FFFFFF"/>
          <w:lang w:eastAsia="ru-RU"/>
        </w:rPr>
        <w:t xml:space="preserve">осударством принимались меры </w:t>
      </w:r>
      <w:r w:rsidR="0013438D" w:rsidRPr="00BC3B39">
        <w:rPr>
          <w:rFonts w:ascii="Times New Roman" w:hAnsi="Times New Roman" w:cs="Times New Roman"/>
          <w:sz w:val="30"/>
          <w:szCs w:val="30"/>
        </w:rPr>
        <w:t>по обеспечению занятости и уровня доходов работников</w:t>
      </w:r>
      <w:r w:rsidR="0013438D">
        <w:rPr>
          <w:rFonts w:ascii="Times New Roman" w:hAnsi="Times New Roman" w:cs="Times New Roman"/>
          <w:sz w:val="30"/>
          <w:szCs w:val="30"/>
        </w:rPr>
        <w:t xml:space="preserve">, </w:t>
      </w:r>
      <w:r w:rsidR="0013438D" w:rsidRPr="0013438D">
        <w:rPr>
          <w:rFonts w:ascii="Times New Roman" w:hAnsi="Times New Roman" w:cs="Times New Roman"/>
          <w:sz w:val="30"/>
          <w:szCs w:val="30"/>
        </w:rPr>
        <w:t>предотвращени</w:t>
      </w:r>
      <w:r w:rsidR="0013438D">
        <w:rPr>
          <w:rFonts w:ascii="Times New Roman" w:hAnsi="Times New Roman" w:cs="Times New Roman"/>
          <w:sz w:val="30"/>
          <w:szCs w:val="30"/>
        </w:rPr>
        <w:t>ю</w:t>
      </w:r>
      <w:r w:rsidR="0013438D" w:rsidRPr="0013438D">
        <w:rPr>
          <w:rFonts w:ascii="Times New Roman" w:hAnsi="Times New Roman" w:cs="Times New Roman"/>
          <w:sz w:val="30"/>
          <w:szCs w:val="30"/>
        </w:rPr>
        <w:t xml:space="preserve"> распространения COVID-19 на производстве</w:t>
      </w:r>
      <w:r w:rsidR="0013438D">
        <w:rPr>
          <w:rFonts w:ascii="Times New Roman" w:hAnsi="Times New Roman" w:cs="Times New Roman"/>
          <w:sz w:val="30"/>
          <w:szCs w:val="30"/>
        </w:rPr>
        <w:t>.</w:t>
      </w:r>
    </w:p>
    <w:p w:rsidR="00BC3B39" w:rsidRPr="00852814" w:rsidRDefault="00BC3B39" w:rsidP="00BC3B39">
      <w:pPr>
        <w:spacing w:after="0" w:line="240" w:lineRule="auto"/>
        <w:ind w:firstLine="709"/>
        <w:jc w:val="both"/>
        <w:rPr>
          <w:rFonts w:ascii="Times New Roman" w:hAnsi="Times New Roman" w:cs="Times New Roman"/>
          <w:sz w:val="30"/>
          <w:szCs w:val="30"/>
        </w:rPr>
      </w:pPr>
      <w:bookmarkStart w:id="1" w:name="_Toc213041697"/>
      <w:bookmarkStart w:id="2" w:name="_Toc235954878"/>
      <w:bookmarkStart w:id="3" w:name="_Toc425761280"/>
      <w:bookmarkStart w:id="4" w:name="_Toc472693928"/>
      <w:r w:rsidRPr="00BC3B39">
        <w:rPr>
          <w:rFonts w:ascii="Times New Roman" w:hAnsi="Times New Roman" w:cs="Times New Roman"/>
          <w:sz w:val="30"/>
          <w:szCs w:val="30"/>
        </w:rPr>
        <w:t>Так, в целях минимизации влияния на экономику Республики Беларусь мировой эпидемиологической ситуации Указ</w:t>
      </w:r>
      <w:r w:rsidR="00852814">
        <w:rPr>
          <w:rFonts w:ascii="Times New Roman" w:hAnsi="Times New Roman" w:cs="Times New Roman"/>
          <w:sz w:val="30"/>
          <w:szCs w:val="30"/>
        </w:rPr>
        <w:t>ом</w:t>
      </w:r>
      <w:r w:rsidRPr="00BC3B39">
        <w:rPr>
          <w:rFonts w:ascii="Times New Roman" w:hAnsi="Times New Roman" w:cs="Times New Roman"/>
          <w:bCs/>
          <w:sz w:val="30"/>
          <w:szCs w:val="30"/>
        </w:rPr>
        <w:t xml:space="preserve"> Президента Республики Беларусь от 24 апреля 2020 г. № 143 </w:t>
      </w:r>
      <w:r w:rsidRPr="00BC3B39">
        <w:rPr>
          <w:rFonts w:ascii="Times New Roman" w:hAnsi="Times New Roman" w:cs="Times New Roman"/>
          <w:bCs/>
          <w:sz w:val="30"/>
          <w:szCs w:val="30"/>
        </w:rPr>
        <w:br/>
        <w:t xml:space="preserve">«О  поддержке экономики» </w:t>
      </w:r>
      <w:r w:rsidR="00852814">
        <w:rPr>
          <w:rFonts w:ascii="Times New Roman" w:hAnsi="Times New Roman" w:cs="Times New Roman"/>
          <w:bCs/>
          <w:sz w:val="30"/>
          <w:szCs w:val="30"/>
        </w:rPr>
        <w:t>н</w:t>
      </w:r>
      <w:r w:rsidRPr="00852814">
        <w:rPr>
          <w:rFonts w:ascii="Times New Roman" w:hAnsi="Times New Roman" w:cs="Times New Roman"/>
          <w:sz w:val="30"/>
          <w:szCs w:val="30"/>
        </w:rPr>
        <w:t>анимателям предоставлено право:</w:t>
      </w:r>
    </w:p>
    <w:p w:rsidR="00BC3B39" w:rsidRPr="00852814" w:rsidRDefault="00BC3B39" w:rsidP="00BC3B39">
      <w:pPr>
        <w:spacing w:after="0" w:line="240" w:lineRule="auto"/>
        <w:ind w:firstLine="709"/>
        <w:jc w:val="both"/>
        <w:rPr>
          <w:rFonts w:ascii="Times New Roman" w:hAnsi="Times New Roman" w:cs="Times New Roman"/>
          <w:sz w:val="30"/>
          <w:szCs w:val="30"/>
        </w:rPr>
      </w:pPr>
      <w:r w:rsidRPr="00852814">
        <w:rPr>
          <w:rFonts w:ascii="Times New Roman" w:hAnsi="Times New Roman" w:cs="Times New Roman"/>
          <w:bCs/>
          <w:sz w:val="30"/>
          <w:szCs w:val="30"/>
        </w:rPr>
        <w:t>изменять существенные условия труда работника, за исключением уменьшения размера оплаты труда</w:t>
      </w:r>
      <w:r w:rsidRPr="00852814">
        <w:rPr>
          <w:rFonts w:ascii="Times New Roman" w:hAnsi="Times New Roman" w:cs="Times New Roman"/>
          <w:sz w:val="30"/>
          <w:szCs w:val="30"/>
        </w:rPr>
        <w:t xml:space="preserve">, в связи с обоснованными причинами неблагоприятного воздействия эпидемиологической ситуации на деятельность нанимателя, предупредив об этом работника письменно </w:t>
      </w:r>
      <w:r w:rsidRPr="00852814">
        <w:rPr>
          <w:rFonts w:ascii="Times New Roman" w:hAnsi="Times New Roman" w:cs="Times New Roman"/>
          <w:bCs/>
          <w:iCs/>
          <w:sz w:val="30"/>
          <w:szCs w:val="30"/>
        </w:rPr>
        <w:t>не позднее чем за 1 календарный день</w:t>
      </w:r>
      <w:r w:rsidRPr="00852814">
        <w:rPr>
          <w:rFonts w:ascii="Times New Roman" w:hAnsi="Times New Roman" w:cs="Times New Roman"/>
          <w:sz w:val="30"/>
          <w:szCs w:val="30"/>
        </w:rPr>
        <w:t>;</w:t>
      </w:r>
    </w:p>
    <w:p w:rsidR="00BC3B39" w:rsidRPr="00852814" w:rsidRDefault="00BC3B39" w:rsidP="00BC3B39">
      <w:pPr>
        <w:spacing w:after="0" w:line="240" w:lineRule="auto"/>
        <w:ind w:firstLine="709"/>
        <w:jc w:val="both"/>
        <w:rPr>
          <w:rFonts w:ascii="Times New Roman" w:hAnsi="Times New Roman" w:cs="Times New Roman"/>
          <w:sz w:val="30"/>
          <w:szCs w:val="30"/>
        </w:rPr>
      </w:pPr>
      <w:r w:rsidRPr="00852814">
        <w:rPr>
          <w:rFonts w:ascii="Times New Roman" w:hAnsi="Times New Roman" w:cs="Times New Roman"/>
          <w:bCs/>
          <w:sz w:val="30"/>
          <w:szCs w:val="30"/>
        </w:rPr>
        <w:t>производить временный перевод</w:t>
      </w:r>
      <w:r w:rsidRPr="00852814">
        <w:rPr>
          <w:rFonts w:ascii="Times New Roman" w:hAnsi="Times New Roman" w:cs="Times New Roman"/>
          <w:sz w:val="30"/>
          <w:szCs w:val="30"/>
        </w:rPr>
        <w:t xml:space="preserve">,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w:t>
      </w:r>
      <w:r w:rsidRPr="00852814">
        <w:rPr>
          <w:rFonts w:ascii="Times New Roman" w:hAnsi="Times New Roman" w:cs="Times New Roman"/>
          <w:bCs/>
          <w:iCs/>
          <w:sz w:val="30"/>
          <w:szCs w:val="30"/>
        </w:rPr>
        <w:t>на срок до 3 месяцев</w:t>
      </w:r>
      <w:r w:rsidRPr="00852814">
        <w:rPr>
          <w:rFonts w:ascii="Times New Roman" w:hAnsi="Times New Roman" w:cs="Times New Roman"/>
          <w:sz w:val="30"/>
          <w:szCs w:val="30"/>
        </w:rPr>
        <w:t>.</w:t>
      </w:r>
    </w:p>
    <w:p w:rsidR="00F026FB" w:rsidRPr="00F026FB" w:rsidRDefault="00F026FB" w:rsidP="00F026FB">
      <w:pPr>
        <w:spacing w:after="0" w:line="240" w:lineRule="auto"/>
        <w:ind w:firstLine="709"/>
        <w:jc w:val="both"/>
        <w:rPr>
          <w:rFonts w:ascii="Times New Roman" w:hAnsi="Times New Roman" w:cs="Times New Roman"/>
          <w:sz w:val="30"/>
          <w:szCs w:val="30"/>
        </w:rPr>
      </w:pPr>
      <w:r w:rsidRPr="00F026FB">
        <w:rPr>
          <w:rFonts w:ascii="Times New Roman" w:hAnsi="Times New Roman" w:cs="Times New Roman"/>
          <w:sz w:val="30"/>
          <w:szCs w:val="30"/>
        </w:rPr>
        <w:t xml:space="preserve">В целях обеспечения бесперебойного функционирования системы здравоохранения в условиях, связанных с инфекциями, Указом Президента Республики Беларусь от 16 апреля 2020 г. № 131 </w:t>
      </w:r>
      <w:r w:rsidRPr="00F026FB">
        <w:rPr>
          <w:rFonts w:ascii="Times New Roman" w:hAnsi="Times New Roman" w:cs="Times New Roman"/>
          <w:sz w:val="30"/>
          <w:szCs w:val="30"/>
        </w:rPr>
        <w:br/>
        <w:t>«О материальном стимулировании работников здравоохранения» установлены ежемесячные надбавки медицинским работникам, оказывающим медицинскую помощь пациентам с инфекциями.</w:t>
      </w:r>
    </w:p>
    <w:p w:rsidR="00F026FB" w:rsidRDefault="00F026FB" w:rsidP="00BC3B39">
      <w:pPr>
        <w:spacing w:after="0" w:line="240" w:lineRule="auto"/>
        <w:ind w:firstLine="709"/>
        <w:jc w:val="both"/>
        <w:rPr>
          <w:rFonts w:ascii="Times New Roman" w:hAnsi="Times New Roman" w:cs="Times New Roman"/>
          <w:sz w:val="30"/>
          <w:szCs w:val="30"/>
        </w:rPr>
      </w:pPr>
      <w:r w:rsidRPr="00F026FB">
        <w:rPr>
          <w:rFonts w:ascii="Times New Roman" w:hAnsi="Times New Roman" w:cs="Times New Roman"/>
          <w:sz w:val="30"/>
          <w:szCs w:val="30"/>
        </w:rPr>
        <w:t xml:space="preserve">В условиях преодоления негативных последствий эпидемиологической ситуации, вызванной инфекцией </w:t>
      </w:r>
      <w:r w:rsidRPr="00F026FB">
        <w:rPr>
          <w:rFonts w:ascii="Times New Roman" w:hAnsi="Times New Roman" w:cs="Times New Roman"/>
          <w:sz w:val="30"/>
          <w:szCs w:val="30"/>
          <w:lang w:val="en-US"/>
        </w:rPr>
        <w:t>COVID</w:t>
      </w:r>
      <w:r w:rsidRPr="00F026FB">
        <w:rPr>
          <w:rFonts w:ascii="Times New Roman" w:hAnsi="Times New Roman" w:cs="Times New Roman"/>
          <w:sz w:val="30"/>
          <w:szCs w:val="30"/>
        </w:rPr>
        <w:t xml:space="preserve">-19, работники отдельных государственных учреждений, </w:t>
      </w:r>
      <w:r w:rsidR="00706EDF" w:rsidRPr="00706EDF">
        <w:rPr>
          <w:rFonts w:ascii="Times New Roman" w:hAnsi="Times New Roman" w:cs="Times New Roman"/>
          <w:sz w:val="30"/>
          <w:szCs w:val="30"/>
        </w:rPr>
        <w:t>осуществляющих стационарное социальное обслуживание, отделений круглосуточного пребывания территориальных центров социального обслуживания населения</w:t>
      </w:r>
      <w:r w:rsidRPr="00F026FB">
        <w:rPr>
          <w:rFonts w:ascii="Times New Roman" w:hAnsi="Times New Roman" w:cs="Times New Roman"/>
          <w:sz w:val="30"/>
          <w:szCs w:val="30"/>
        </w:rPr>
        <w:t xml:space="preserve">, были переведены на режим работы вахтовым методом для обеспечения снижения риска дальнейшего распространения инфекции. Для усиления социальной защищенности указанных работников и мотивации их труда принят Указ Президента Республики Беларусь  от 18 мая 2020 г. № 169 «О материальном стимулировании работников организаций, оказывающих социальные услуги», которым предусмотрено установление стимулирующей выплаты – надбавки за работу в условиях преодоления негативных последствий эпидемиологической ситуации. </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lastRenderedPageBreak/>
        <w:t xml:space="preserve">Указом Президента Республики Беларусь от 28 мая 2020 г. № 178 </w:t>
      </w:r>
      <w:r w:rsidRPr="00BC3B39">
        <w:rPr>
          <w:rFonts w:ascii="Times New Roman" w:hAnsi="Times New Roman" w:cs="Times New Roman"/>
          <w:sz w:val="30"/>
          <w:szCs w:val="30"/>
        </w:rPr>
        <w:br/>
        <w:t>«О временных мерах государственной поддержки нанимателей</w:t>
      </w:r>
      <w:r w:rsidR="00531471">
        <w:rPr>
          <w:rFonts w:ascii="Times New Roman" w:hAnsi="Times New Roman" w:cs="Times New Roman"/>
          <w:sz w:val="30"/>
          <w:szCs w:val="30"/>
        </w:rPr>
        <w:t xml:space="preserve"> и отдельных категорий граждан»</w:t>
      </w:r>
      <w:r w:rsidRPr="00BC3B39">
        <w:rPr>
          <w:rFonts w:ascii="Times New Roman" w:hAnsi="Times New Roman" w:cs="Times New Roman"/>
          <w:sz w:val="30"/>
          <w:szCs w:val="30"/>
        </w:rPr>
        <w:t xml:space="preserve"> установлены доплаты до размера минимальной заработной платы работникам (за исключением работников бюджетных организаций), не работавшим с 1 мая по 31 июля 2020 г в связи с простоем не по вине работника, а также работникам, которым в этот период устанавливалось по инициативе нанимателя неполное рабочее время. В отношении работников бюджетных организаций Указом Президента Республики Беларусь от 28 мая 2020 г. № 179 «Об оплате труда» установлено, что в аналогичных условиях их заработная плата составляет не менее величины минимальной заработной платы.</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С целью исключения распространения коронавирусной инфекции осенью 2020 года </w:t>
      </w:r>
      <w:r w:rsidR="00852814">
        <w:rPr>
          <w:rFonts w:ascii="Times New Roman" w:hAnsi="Times New Roman" w:cs="Times New Roman"/>
          <w:sz w:val="30"/>
          <w:szCs w:val="30"/>
        </w:rPr>
        <w:t>были приняты</w:t>
      </w:r>
      <w:r w:rsidRPr="00BC3B39">
        <w:rPr>
          <w:rFonts w:ascii="Times New Roman" w:hAnsi="Times New Roman" w:cs="Times New Roman"/>
          <w:sz w:val="30"/>
          <w:szCs w:val="30"/>
        </w:rPr>
        <w:t xml:space="preserve"> дополнительны</w:t>
      </w:r>
      <w:r w:rsidR="00852814">
        <w:rPr>
          <w:rFonts w:ascii="Times New Roman" w:hAnsi="Times New Roman" w:cs="Times New Roman"/>
          <w:sz w:val="30"/>
          <w:szCs w:val="30"/>
        </w:rPr>
        <w:t>е</w:t>
      </w:r>
      <w:r w:rsidRPr="00BC3B39">
        <w:rPr>
          <w:rFonts w:ascii="Times New Roman" w:hAnsi="Times New Roman" w:cs="Times New Roman"/>
          <w:sz w:val="30"/>
          <w:szCs w:val="30"/>
        </w:rPr>
        <w:t xml:space="preserve"> мер</w:t>
      </w:r>
      <w:r w:rsidR="00852814">
        <w:rPr>
          <w:rFonts w:ascii="Times New Roman" w:hAnsi="Times New Roman" w:cs="Times New Roman"/>
          <w:sz w:val="30"/>
          <w:szCs w:val="30"/>
        </w:rPr>
        <w:t>ы</w:t>
      </w:r>
      <w:r w:rsidRPr="00BC3B39">
        <w:rPr>
          <w:rFonts w:ascii="Times New Roman" w:hAnsi="Times New Roman" w:cs="Times New Roman"/>
          <w:sz w:val="30"/>
          <w:szCs w:val="30"/>
        </w:rPr>
        <w:t xml:space="preserve"> по сохранению занятости и предотвращению заражения работников на рабочих местах.</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Указом Президента Республики Беларусь от 31 декабря 2020 г. № 512 внесены изменения в Указ № 143. В частности, нанимателям предоставлено право:</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объявлять простой, вызванный неблагоприятным воздействием эпидемиологической ситуации на деятельность нанимателя, без ограничения общей продолжительности в течение календарного года. При этом нахождение работника в простое, общая продолжительность которого превышает суммарно шесть месяцев в течение календарного года, является уважительной причиной для досрочного расторжения по требованию работника срочного трудового договора (контракта) в период простоя;</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предоставлять работнику с его согласия отпуск для нахождения в режиме самоизоляции в месте, которое определяется нанимателем. Продолжительность отпуска определяется 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 оклада, если иное не установлено коллективным договором, соглашением;</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устанавливать при производстве работы вахтовым методом санитарам (санитаркам) и няням государственных учреждений социального обслуживания, осуществляющих стационарное социальное обслуживание, продолжительность выполняемой ими работы сверх продолжительности рабочего времени по основной работе, не превышающую 900 часов в год;</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включать в рабочий год, за который предоставляется трудовой отпуск, время предусмотренных законодательством отпусков без сохранения заработной платы, предоставляемых по инициативе нанимателя, без ограничения их продолжительности;</w:t>
      </w:r>
    </w:p>
    <w:p w:rsidR="00BC3B39" w:rsidRPr="00BC3B39" w:rsidRDefault="00BC3B39" w:rsidP="00BC3B39">
      <w:pPr>
        <w:spacing w:after="0" w:line="240" w:lineRule="auto"/>
        <w:ind w:firstLine="709"/>
        <w:jc w:val="both"/>
        <w:rPr>
          <w:rFonts w:ascii="Times New Roman" w:hAnsi="Times New Roman" w:cs="Times New Roman"/>
          <w:sz w:val="30"/>
          <w:szCs w:val="30"/>
        </w:rPr>
      </w:pPr>
      <w:r w:rsidRPr="00BC3B39">
        <w:rPr>
          <w:rFonts w:ascii="Times New Roman" w:hAnsi="Times New Roman" w:cs="Times New Roman"/>
          <w:sz w:val="30"/>
          <w:szCs w:val="30"/>
        </w:rPr>
        <w:t xml:space="preserve">освобождать работника от работы в связи с его болезненным состоянием на срок до трех календарных дней суммарно в течение срока действия Указа № 143 без предоставления работником листка нетрудоспособности. Сохранение среднего </w:t>
      </w:r>
      <w:r w:rsidRPr="00BC3B39">
        <w:rPr>
          <w:rFonts w:ascii="Times New Roman" w:hAnsi="Times New Roman" w:cs="Times New Roman"/>
          <w:sz w:val="30"/>
          <w:szCs w:val="30"/>
        </w:rPr>
        <w:lastRenderedPageBreak/>
        <w:t>заработка за период освобождения от работы может быть предусмотрено коллективным договором, иным локальным правовым актом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bookmarkEnd w:id="1"/>
    <w:bookmarkEnd w:id="2"/>
    <w:bookmarkEnd w:id="3"/>
    <w:bookmarkEnd w:id="4"/>
    <w:p w:rsidR="003E3C25" w:rsidRDefault="0013438D" w:rsidP="0013438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Принимались и другие меры по минимизации рисков распространения </w:t>
      </w:r>
      <w:r w:rsidRPr="0013438D">
        <w:rPr>
          <w:rFonts w:ascii="Times New Roman" w:hAnsi="Times New Roman" w:cs="Times New Roman"/>
          <w:sz w:val="30"/>
          <w:szCs w:val="30"/>
          <w:lang w:val="en-US"/>
        </w:rPr>
        <w:t>COVID</w:t>
      </w:r>
      <w:r w:rsidRPr="0013438D">
        <w:rPr>
          <w:rFonts w:ascii="Times New Roman" w:hAnsi="Times New Roman" w:cs="Times New Roman"/>
          <w:sz w:val="30"/>
          <w:szCs w:val="30"/>
        </w:rPr>
        <w:t>-19</w:t>
      </w:r>
      <w:r w:rsidR="005C2E13">
        <w:rPr>
          <w:rFonts w:ascii="Times New Roman" w:hAnsi="Times New Roman" w:cs="Times New Roman"/>
          <w:sz w:val="30"/>
          <w:szCs w:val="30"/>
        </w:rPr>
        <w:t>.</w:t>
      </w:r>
      <w:r w:rsidR="003E3C25">
        <w:rPr>
          <w:rFonts w:ascii="Times New Roman" w:hAnsi="Times New Roman" w:cs="Times New Roman"/>
          <w:sz w:val="30"/>
          <w:szCs w:val="30"/>
        </w:rPr>
        <w:t xml:space="preserve"> </w:t>
      </w:r>
    </w:p>
    <w:p w:rsidR="0013438D" w:rsidRDefault="003E3C25" w:rsidP="0013438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Были внесены коррективы и в организацию работы по охране труда.</w:t>
      </w:r>
    </w:p>
    <w:p w:rsidR="003E3C25" w:rsidRDefault="005C2E13" w:rsidP="003E3C25">
      <w:pPr>
        <w:spacing w:after="0" w:line="240" w:lineRule="auto"/>
        <w:ind w:firstLine="709"/>
        <w:jc w:val="both"/>
        <w:rPr>
          <w:rFonts w:ascii="Times New Roman" w:hAnsi="Times New Roman" w:cs="Times New Roman"/>
          <w:sz w:val="30"/>
          <w:szCs w:val="30"/>
        </w:rPr>
      </w:pPr>
      <w:r w:rsidRPr="005C2E13">
        <w:rPr>
          <w:rFonts w:ascii="Times New Roman" w:hAnsi="Times New Roman" w:cs="Times New Roman"/>
          <w:sz w:val="30"/>
          <w:szCs w:val="30"/>
        </w:rPr>
        <w:t xml:space="preserve">С учетом эпидемиологической ситуации в 2020 году изменился формат проводимой </w:t>
      </w:r>
      <w:r>
        <w:rPr>
          <w:rFonts w:ascii="Times New Roman" w:hAnsi="Times New Roman" w:cs="Times New Roman"/>
          <w:sz w:val="30"/>
          <w:szCs w:val="30"/>
        </w:rPr>
        <w:t xml:space="preserve">в республике </w:t>
      </w:r>
      <w:r w:rsidRPr="005C2E13">
        <w:rPr>
          <w:rFonts w:ascii="Times New Roman" w:hAnsi="Times New Roman" w:cs="Times New Roman"/>
          <w:sz w:val="30"/>
          <w:szCs w:val="30"/>
        </w:rPr>
        <w:t xml:space="preserve">работы по обучению и повышению квалификации работников по вопросам охраны труда, пропаганде безопасных приемов и методов работы. Акцент сделан на проведение разъяснительной работы посредством участия в информационно-консультационных вебинарах,  размещения информации на интернет-сайте </w:t>
      </w:r>
      <w:r>
        <w:rPr>
          <w:rFonts w:ascii="Times New Roman" w:hAnsi="Times New Roman" w:cs="Times New Roman"/>
          <w:sz w:val="30"/>
          <w:szCs w:val="30"/>
        </w:rPr>
        <w:t>органов государственного управления</w:t>
      </w:r>
      <w:r w:rsidRPr="005C2E13">
        <w:rPr>
          <w:rFonts w:ascii="Times New Roman" w:hAnsi="Times New Roman" w:cs="Times New Roman"/>
          <w:sz w:val="30"/>
          <w:szCs w:val="30"/>
        </w:rPr>
        <w:t xml:space="preserve">, средствах массовой информации. </w:t>
      </w:r>
    </w:p>
    <w:p w:rsidR="003E3C25" w:rsidRPr="003E3C25" w:rsidRDefault="003E3C25" w:rsidP="003E3C25">
      <w:pPr>
        <w:spacing w:after="0" w:line="240" w:lineRule="auto"/>
        <w:ind w:firstLine="709"/>
        <w:jc w:val="both"/>
        <w:rPr>
          <w:rFonts w:ascii="Times New Roman" w:hAnsi="Times New Roman" w:cs="Times New Roman"/>
          <w:sz w:val="30"/>
          <w:szCs w:val="30"/>
        </w:rPr>
      </w:pPr>
      <w:r w:rsidRPr="003E3C25">
        <w:rPr>
          <w:rFonts w:ascii="Times New Roman" w:hAnsi="Times New Roman" w:cs="Times New Roman"/>
          <w:sz w:val="30"/>
          <w:szCs w:val="30"/>
        </w:rPr>
        <w:t xml:space="preserve">С целью привлечения внимания общественности к вопросам охраны труда </w:t>
      </w:r>
      <w:r w:rsidR="009D25AA">
        <w:rPr>
          <w:rFonts w:ascii="Times New Roman" w:hAnsi="Times New Roman" w:cs="Times New Roman"/>
          <w:sz w:val="30"/>
          <w:szCs w:val="30"/>
        </w:rPr>
        <w:t>проводилась</w:t>
      </w:r>
      <w:r w:rsidRPr="003E3C25">
        <w:rPr>
          <w:rFonts w:ascii="Times New Roman" w:hAnsi="Times New Roman" w:cs="Times New Roman"/>
          <w:sz w:val="30"/>
          <w:szCs w:val="30"/>
        </w:rPr>
        <w:t xml:space="preserve"> работа по размещению соответствующей социальной рекламы в виде плакатов, баннеров и лент-растяжек, в том числе на транспортных средствах. Использовались и другие способы ее размещения, </w:t>
      </w:r>
      <w:r w:rsidR="009D25AA">
        <w:rPr>
          <w:rFonts w:ascii="Times New Roman" w:hAnsi="Times New Roman" w:cs="Times New Roman"/>
          <w:sz w:val="30"/>
          <w:szCs w:val="30"/>
        </w:rPr>
        <w:t>в том числе</w:t>
      </w:r>
      <w:r w:rsidRPr="003E3C25">
        <w:rPr>
          <w:rFonts w:ascii="Times New Roman" w:hAnsi="Times New Roman" w:cs="Times New Roman"/>
          <w:sz w:val="30"/>
          <w:szCs w:val="30"/>
        </w:rPr>
        <w:t xml:space="preserve"> путем трансляции роликов по охране труда по видеотерминалам общественного транспорта, телевидению, на электронно-информационных табло в местах массового пребывания граждан, а также в глобальной компьютерной сети Интернет. </w:t>
      </w:r>
    </w:p>
    <w:p w:rsidR="005C2E13" w:rsidRDefault="005C2E13" w:rsidP="005C2E13">
      <w:pPr>
        <w:spacing w:after="0" w:line="240" w:lineRule="auto"/>
        <w:ind w:firstLine="709"/>
        <w:jc w:val="both"/>
        <w:rPr>
          <w:rFonts w:ascii="Times New Roman" w:hAnsi="Times New Roman" w:cs="Times New Roman"/>
          <w:sz w:val="30"/>
          <w:szCs w:val="30"/>
        </w:rPr>
      </w:pPr>
      <w:r w:rsidRPr="005C2E13">
        <w:rPr>
          <w:rFonts w:ascii="Times New Roman" w:hAnsi="Times New Roman" w:cs="Times New Roman"/>
          <w:bCs/>
          <w:sz w:val="30"/>
          <w:szCs w:val="30"/>
        </w:rPr>
        <w:t>В целях снижения риска распространения инфекции, вызванной коронавирусом COVID-19</w:t>
      </w:r>
      <w:r w:rsidR="006C4C2C">
        <w:rPr>
          <w:rFonts w:ascii="Times New Roman" w:hAnsi="Times New Roman" w:cs="Times New Roman"/>
          <w:bCs/>
          <w:sz w:val="30"/>
          <w:szCs w:val="30"/>
        </w:rPr>
        <w:t>,</w:t>
      </w:r>
      <w:r w:rsidRPr="005C2E13">
        <w:rPr>
          <w:rFonts w:ascii="Times New Roman" w:hAnsi="Times New Roman" w:cs="Times New Roman"/>
          <w:bCs/>
          <w:sz w:val="30"/>
          <w:szCs w:val="30"/>
        </w:rPr>
        <w:t xml:space="preserve"> приняты постановления </w:t>
      </w:r>
      <w:r w:rsidRPr="005C2E13">
        <w:rPr>
          <w:rFonts w:ascii="Times New Roman" w:hAnsi="Times New Roman" w:cs="Times New Roman"/>
          <w:sz w:val="30"/>
          <w:szCs w:val="30"/>
        </w:rPr>
        <w:t>Совета Министров Республики Беларусь от 15 июня 2020 г. № 345 «О продлении срока действия удостоверений»</w:t>
      </w:r>
      <w:r w:rsidR="0012277B">
        <w:rPr>
          <w:rFonts w:ascii="Times New Roman" w:hAnsi="Times New Roman" w:cs="Times New Roman"/>
          <w:sz w:val="30"/>
          <w:szCs w:val="30"/>
        </w:rPr>
        <w:t xml:space="preserve"> и </w:t>
      </w:r>
      <w:r w:rsidR="0012277B" w:rsidRPr="0012277B">
        <w:rPr>
          <w:rFonts w:ascii="Times New Roman" w:hAnsi="Times New Roman" w:cs="Times New Roman"/>
          <w:sz w:val="30"/>
          <w:szCs w:val="30"/>
        </w:rPr>
        <w:t xml:space="preserve"> от </w:t>
      </w:r>
      <w:r w:rsidR="00A57DC0">
        <w:rPr>
          <w:rFonts w:ascii="Times New Roman" w:hAnsi="Times New Roman" w:cs="Times New Roman"/>
          <w:sz w:val="30"/>
          <w:szCs w:val="30"/>
        </w:rPr>
        <w:t xml:space="preserve">2 декабря </w:t>
      </w:r>
      <w:r w:rsidR="0012277B" w:rsidRPr="0012277B">
        <w:rPr>
          <w:rFonts w:ascii="Times New Roman" w:hAnsi="Times New Roman" w:cs="Times New Roman"/>
          <w:sz w:val="30"/>
          <w:szCs w:val="30"/>
        </w:rPr>
        <w:t>2020</w:t>
      </w:r>
      <w:r w:rsidR="00A57DC0">
        <w:rPr>
          <w:rFonts w:ascii="Times New Roman" w:hAnsi="Times New Roman" w:cs="Times New Roman"/>
          <w:sz w:val="30"/>
          <w:szCs w:val="30"/>
        </w:rPr>
        <w:t xml:space="preserve"> г.</w:t>
      </w:r>
      <w:r w:rsidR="0012277B" w:rsidRPr="0012277B">
        <w:rPr>
          <w:rFonts w:ascii="Times New Roman" w:hAnsi="Times New Roman" w:cs="Times New Roman"/>
          <w:sz w:val="30"/>
          <w:szCs w:val="30"/>
        </w:rPr>
        <w:t xml:space="preserve"> </w:t>
      </w:r>
      <w:r w:rsidR="00A57DC0">
        <w:rPr>
          <w:rFonts w:ascii="Times New Roman" w:hAnsi="Times New Roman" w:cs="Times New Roman"/>
          <w:sz w:val="30"/>
          <w:szCs w:val="30"/>
        </w:rPr>
        <w:t>№</w:t>
      </w:r>
      <w:r w:rsidR="0012277B" w:rsidRPr="0012277B">
        <w:rPr>
          <w:rFonts w:ascii="Times New Roman" w:hAnsi="Times New Roman" w:cs="Times New Roman"/>
          <w:sz w:val="30"/>
          <w:szCs w:val="30"/>
        </w:rPr>
        <w:t xml:space="preserve"> 687</w:t>
      </w:r>
      <w:r w:rsidR="00A57DC0">
        <w:rPr>
          <w:rFonts w:ascii="Times New Roman" w:hAnsi="Times New Roman" w:cs="Times New Roman"/>
          <w:sz w:val="30"/>
          <w:szCs w:val="30"/>
        </w:rPr>
        <w:t xml:space="preserve"> «</w:t>
      </w:r>
      <w:r w:rsidR="0012277B" w:rsidRPr="0012277B">
        <w:rPr>
          <w:rFonts w:ascii="Times New Roman" w:hAnsi="Times New Roman" w:cs="Times New Roman"/>
          <w:sz w:val="30"/>
          <w:szCs w:val="30"/>
        </w:rPr>
        <w:t>О документах, срок действия по которым продлевается</w:t>
      </w:r>
      <w:r w:rsidR="00A57DC0">
        <w:rPr>
          <w:rFonts w:ascii="Times New Roman" w:hAnsi="Times New Roman" w:cs="Times New Roman"/>
          <w:sz w:val="30"/>
          <w:szCs w:val="30"/>
        </w:rPr>
        <w:t>»</w:t>
      </w:r>
      <w:r w:rsidRPr="005C2E13">
        <w:rPr>
          <w:rFonts w:ascii="Times New Roman" w:hAnsi="Times New Roman" w:cs="Times New Roman"/>
          <w:bCs/>
          <w:sz w:val="30"/>
          <w:szCs w:val="30"/>
        </w:rPr>
        <w:t>, а также</w:t>
      </w:r>
      <w:r w:rsidRPr="005C2E13">
        <w:rPr>
          <w:rFonts w:ascii="Times New Roman" w:hAnsi="Times New Roman" w:cs="Times New Roman"/>
          <w:sz w:val="30"/>
          <w:szCs w:val="30"/>
        </w:rPr>
        <w:t> Минтруда и соцзащиты от 24 июня 2020 г. № 60 и от 11 декабря 2020 г. № 105, которыми продлен срок прохождения периодической проверки знаний по вопросам охраны труда</w:t>
      </w:r>
      <w:r>
        <w:rPr>
          <w:rFonts w:ascii="Times New Roman" w:hAnsi="Times New Roman" w:cs="Times New Roman"/>
          <w:sz w:val="30"/>
          <w:szCs w:val="30"/>
        </w:rPr>
        <w:t xml:space="preserve"> </w:t>
      </w:r>
      <w:r w:rsidR="006C4C2C">
        <w:rPr>
          <w:rFonts w:ascii="Times New Roman" w:hAnsi="Times New Roman" w:cs="Times New Roman"/>
          <w:sz w:val="30"/>
          <w:szCs w:val="30"/>
        </w:rPr>
        <w:t xml:space="preserve">руководителей и специалистов организаций </w:t>
      </w:r>
      <w:r>
        <w:rPr>
          <w:rFonts w:ascii="Times New Roman" w:hAnsi="Times New Roman" w:cs="Times New Roman"/>
          <w:sz w:val="30"/>
          <w:szCs w:val="30"/>
        </w:rPr>
        <w:t>в комиссиях вышестоящих органов управления</w:t>
      </w:r>
      <w:r w:rsidRPr="005C2E13">
        <w:rPr>
          <w:rFonts w:ascii="Times New Roman" w:hAnsi="Times New Roman" w:cs="Times New Roman"/>
          <w:sz w:val="30"/>
          <w:szCs w:val="30"/>
        </w:rPr>
        <w:t>.</w:t>
      </w:r>
    </w:p>
    <w:p w:rsidR="006C4C2C" w:rsidRPr="005C2E13" w:rsidRDefault="006C4C2C" w:rsidP="005C2E1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Учреждения образования активно внедряли дистанционные формы подготовки и повышения квалификации по вопросам охраны труда.</w:t>
      </w:r>
    </w:p>
    <w:p w:rsidR="006266A8" w:rsidRPr="006266A8" w:rsidRDefault="006266A8" w:rsidP="006266A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работа по обеспечению здоровых и безопасных условий труда,</w:t>
      </w:r>
      <w:r w:rsidRPr="006266A8">
        <w:rPr>
          <w:rFonts w:ascii="Times New Roman" w:hAnsi="Times New Roman" w:cs="Times New Roman"/>
          <w:sz w:val="30"/>
          <w:szCs w:val="30"/>
        </w:rPr>
        <w:t xml:space="preserve"> </w:t>
      </w:r>
      <w:r>
        <w:rPr>
          <w:rFonts w:ascii="Times New Roman" w:hAnsi="Times New Roman" w:cs="Times New Roman"/>
          <w:sz w:val="30"/>
          <w:szCs w:val="30"/>
        </w:rPr>
        <w:t xml:space="preserve">несмотря на риски связанные с </w:t>
      </w:r>
      <w:r w:rsidRPr="006266A8">
        <w:rPr>
          <w:rFonts w:ascii="Times New Roman" w:hAnsi="Times New Roman" w:cs="Times New Roman"/>
          <w:sz w:val="30"/>
          <w:szCs w:val="30"/>
        </w:rPr>
        <w:t>распространени</w:t>
      </w:r>
      <w:r>
        <w:rPr>
          <w:rFonts w:ascii="Times New Roman" w:hAnsi="Times New Roman" w:cs="Times New Roman"/>
          <w:sz w:val="30"/>
          <w:szCs w:val="30"/>
        </w:rPr>
        <w:t>ем</w:t>
      </w:r>
      <w:r w:rsidRPr="006266A8">
        <w:rPr>
          <w:rFonts w:ascii="Times New Roman" w:hAnsi="Times New Roman" w:cs="Times New Roman"/>
          <w:sz w:val="30"/>
          <w:szCs w:val="30"/>
        </w:rPr>
        <w:t xml:space="preserve"> </w:t>
      </w:r>
      <w:r w:rsidRPr="006266A8">
        <w:rPr>
          <w:rFonts w:ascii="Times New Roman" w:hAnsi="Times New Roman" w:cs="Times New Roman"/>
          <w:sz w:val="30"/>
          <w:szCs w:val="30"/>
          <w:lang w:val="en-US"/>
        </w:rPr>
        <w:t>COVID</w:t>
      </w:r>
      <w:r w:rsidRPr="006266A8">
        <w:rPr>
          <w:rFonts w:ascii="Times New Roman" w:hAnsi="Times New Roman" w:cs="Times New Roman"/>
          <w:sz w:val="30"/>
          <w:szCs w:val="30"/>
        </w:rPr>
        <w:t>-19</w:t>
      </w:r>
      <w:r>
        <w:rPr>
          <w:rFonts w:ascii="Times New Roman" w:hAnsi="Times New Roman" w:cs="Times New Roman"/>
          <w:sz w:val="30"/>
          <w:szCs w:val="30"/>
        </w:rPr>
        <w:t>, носи</w:t>
      </w:r>
      <w:r w:rsidR="009D25AA">
        <w:rPr>
          <w:rFonts w:ascii="Times New Roman" w:hAnsi="Times New Roman" w:cs="Times New Roman"/>
          <w:sz w:val="30"/>
          <w:szCs w:val="30"/>
        </w:rPr>
        <w:t>ла</w:t>
      </w:r>
      <w:r>
        <w:rPr>
          <w:rFonts w:ascii="Times New Roman" w:hAnsi="Times New Roman" w:cs="Times New Roman"/>
          <w:sz w:val="30"/>
          <w:szCs w:val="30"/>
        </w:rPr>
        <w:t xml:space="preserve"> системный характер. Органами государственного управления обеспечено функционирование отраслевых и территориальных систем управления охраной труда</w:t>
      </w:r>
      <w:r w:rsidRPr="006266A8">
        <w:rPr>
          <w:rFonts w:ascii="Times New Roman" w:hAnsi="Times New Roman" w:cs="Times New Roman"/>
          <w:sz w:val="30"/>
          <w:szCs w:val="30"/>
        </w:rPr>
        <w:t>, предусматривающих в том числе взаимодействие в области охраны труда с подчиненными организациями</w:t>
      </w:r>
      <w:r>
        <w:rPr>
          <w:rFonts w:ascii="Times New Roman" w:hAnsi="Times New Roman" w:cs="Times New Roman"/>
          <w:sz w:val="30"/>
          <w:szCs w:val="30"/>
        </w:rPr>
        <w:t xml:space="preserve"> и организациями, расположенными на подведомственной территории.</w:t>
      </w:r>
    </w:p>
    <w:p w:rsidR="006266A8" w:rsidRPr="006266A8" w:rsidRDefault="006266A8" w:rsidP="006266A8">
      <w:pPr>
        <w:spacing w:after="0" w:line="240" w:lineRule="auto"/>
        <w:ind w:firstLine="709"/>
        <w:jc w:val="both"/>
        <w:rPr>
          <w:rFonts w:ascii="Times New Roman" w:hAnsi="Times New Roman" w:cs="Times New Roman"/>
          <w:sz w:val="30"/>
          <w:szCs w:val="30"/>
        </w:rPr>
      </w:pPr>
      <w:r w:rsidRPr="006266A8">
        <w:rPr>
          <w:rFonts w:ascii="Times New Roman" w:hAnsi="Times New Roman" w:cs="Times New Roman"/>
          <w:sz w:val="30"/>
          <w:szCs w:val="30"/>
        </w:rPr>
        <w:t>Для 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также в иных сферах деятельности практической и ме</w:t>
      </w:r>
      <w:r w:rsidRPr="006266A8">
        <w:rPr>
          <w:rFonts w:ascii="Times New Roman" w:hAnsi="Times New Roman" w:cs="Times New Roman"/>
          <w:sz w:val="30"/>
          <w:szCs w:val="30"/>
        </w:rPr>
        <w:lastRenderedPageBreak/>
        <w:t>тодической помощи в обеспечении безопасности труда при организации и проведении работ в 2020 году продолжили свою работу 136 мобильных групп, созданных местными органами</w:t>
      </w:r>
      <w:r w:rsidR="00EC3E3F" w:rsidRPr="00EC3E3F">
        <w:rPr>
          <w:rFonts w:ascii="Times New Roman" w:hAnsi="Times New Roman" w:cs="Times New Roman"/>
          <w:sz w:val="30"/>
          <w:szCs w:val="30"/>
        </w:rPr>
        <w:t xml:space="preserve"> </w:t>
      </w:r>
      <w:r w:rsidR="00EC3E3F">
        <w:rPr>
          <w:rFonts w:ascii="Times New Roman" w:hAnsi="Times New Roman" w:cs="Times New Roman"/>
          <w:sz w:val="30"/>
          <w:szCs w:val="30"/>
        </w:rPr>
        <w:t>власти</w:t>
      </w:r>
      <w:r w:rsidRPr="006266A8">
        <w:rPr>
          <w:rFonts w:ascii="Times New Roman" w:hAnsi="Times New Roman" w:cs="Times New Roman"/>
          <w:sz w:val="30"/>
          <w:szCs w:val="30"/>
        </w:rPr>
        <w:t xml:space="preserve">. </w:t>
      </w:r>
      <w:r>
        <w:rPr>
          <w:rFonts w:ascii="Times New Roman" w:hAnsi="Times New Roman" w:cs="Times New Roman"/>
          <w:sz w:val="30"/>
          <w:szCs w:val="30"/>
        </w:rPr>
        <w:t>И</w:t>
      </w:r>
      <w:r w:rsidRPr="006266A8">
        <w:rPr>
          <w:rFonts w:ascii="Times New Roman" w:hAnsi="Times New Roman" w:cs="Times New Roman"/>
          <w:sz w:val="30"/>
          <w:szCs w:val="30"/>
        </w:rPr>
        <w:t>ми проведено 11,6</w:t>
      </w:r>
      <w:r>
        <w:rPr>
          <w:rFonts w:ascii="Times New Roman" w:hAnsi="Times New Roman" w:cs="Times New Roman"/>
          <w:sz w:val="30"/>
          <w:szCs w:val="30"/>
        </w:rPr>
        <w:t> тыс. обследований</w:t>
      </w:r>
      <w:r w:rsidRPr="006266A8">
        <w:rPr>
          <w:rFonts w:ascii="Times New Roman" w:hAnsi="Times New Roman" w:cs="Times New Roman"/>
          <w:sz w:val="30"/>
          <w:szCs w:val="30"/>
        </w:rPr>
        <w:t>, в ходе которых нанимателям рекомендовано устранить более 126 тыс. недостатков в обеспечении безопасности работающих.</w:t>
      </w:r>
    </w:p>
    <w:p w:rsidR="006266A8" w:rsidRPr="006266A8" w:rsidRDefault="006266A8" w:rsidP="006266A8">
      <w:pPr>
        <w:spacing w:after="0" w:line="240" w:lineRule="auto"/>
        <w:ind w:firstLine="709"/>
        <w:jc w:val="both"/>
        <w:rPr>
          <w:rFonts w:ascii="Times New Roman" w:hAnsi="Times New Roman" w:cs="Times New Roman"/>
          <w:sz w:val="30"/>
          <w:szCs w:val="30"/>
        </w:rPr>
      </w:pPr>
      <w:r w:rsidRPr="006266A8">
        <w:rPr>
          <w:rFonts w:ascii="Times New Roman" w:hAnsi="Times New Roman" w:cs="Times New Roman"/>
          <w:bCs/>
          <w:iCs/>
          <w:sz w:val="30"/>
          <w:szCs w:val="30"/>
        </w:rPr>
        <w:t>П</w:t>
      </w:r>
      <w:r w:rsidRPr="006266A8">
        <w:rPr>
          <w:rFonts w:ascii="Times New Roman" w:hAnsi="Times New Roman" w:cs="Times New Roman"/>
          <w:sz w:val="30"/>
          <w:szCs w:val="30"/>
        </w:rPr>
        <w:t xml:space="preserve">родолжена 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w:t>
      </w:r>
      <w:r w:rsidR="00694A47">
        <w:rPr>
          <w:rFonts w:ascii="Times New Roman" w:hAnsi="Times New Roman" w:cs="Times New Roman"/>
          <w:sz w:val="30"/>
          <w:szCs w:val="30"/>
        </w:rPr>
        <w:t>Р</w:t>
      </w:r>
      <w:r w:rsidR="00694A47" w:rsidRPr="006266A8">
        <w:rPr>
          <w:rFonts w:ascii="Times New Roman" w:hAnsi="Times New Roman" w:cs="Times New Roman"/>
          <w:sz w:val="30"/>
          <w:szCs w:val="30"/>
        </w:rPr>
        <w:t>еализ</w:t>
      </w:r>
      <w:r w:rsidR="00694A47">
        <w:rPr>
          <w:rFonts w:ascii="Times New Roman" w:hAnsi="Times New Roman" w:cs="Times New Roman"/>
          <w:sz w:val="30"/>
          <w:szCs w:val="30"/>
        </w:rPr>
        <w:t>ация в</w:t>
      </w:r>
      <w:r w:rsidRPr="006266A8">
        <w:rPr>
          <w:rFonts w:ascii="Times New Roman" w:hAnsi="Times New Roman" w:cs="Times New Roman"/>
          <w:sz w:val="30"/>
          <w:szCs w:val="30"/>
        </w:rPr>
        <w:t xml:space="preserve"> 2020 году План</w:t>
      </w:r>
      <w:r w:rsidR="00694A47">
        <w:rPr>
          <w:rFonts w:ascii="Times New Roman" w:hAnsi="Times New Roman" w:cs="Times New Roman"/>
          <w:sz w:val="30"/>
          <w:szCs w:val="30"/>
        </w:rPr>
        <w:t>а</w:t>
      </w:r>
      <w:r w:rsidRPr="006266A8">
        <w:rPr>
          <w:rFonts w:ascii="Times New Roman" w:hAnsi="Times New Roman" w:cs="Times New Roman"/>
          <w:sz w:val="30"/>
          <w:szCs w:val="30"/>
        </w:rPr>
        <w:t xml:space="preserve"> мероприятий по проведению в Республике Беларусь акции «Год безопасно</w:t>
      </w:r>
      <w:r w:rsidR="00694A47">
        <w:rPr>
          <w:rFonts w:ascii="Times New Roman" w:hAnsi="Times New Roman" w:cs="Times New Roman"/>
          <w:sz w:val="30"/>
          <w:szCs w:val="30"/>
        </w:rPr>
        <w:t>го труда в сельском хозяйстве» позволил</w:t>
      </w:r>
      <w:r w:rsidR="009D25AA">
        <w:rPr>
          <w:rFonts w:ascii="Times New Roman" w:hAnsi="Times New Roman" w:cs="Times New Roman"/>
          <w:sz w:val="30"/>
          <w:szCs w:val="30"/>
        </w:rPr>
        <w:t>а</w:t>
      </w:r>
      <w:r w:rsidR="00694A47">
        <w:rPr>
          <w:rFonts w:ascii="Times New Roman" w:hAnsi="Times New Roman" w:cs="Times New Roman"/>
          <w:sz w:val="30"/>
          <w:szCs w:val="30"/>
        </w:rPr>
        <w:t xml:space="preserve"> </w:t>
      </w:r>
      <w:r w:rsidRPr="006266A8">
        <w:rPr>
          <w:rFonts w:ascii="Times New Roman" w:hAnsi="Times New Roman" w:cs="Times New Roman"/>
          <w:sz w:val="30"/>
          <w:szCs w:val="30"/>
        </w:rPr>
        <w:t xml:space="preserve">по сравнению с 2019 годом </w:t>
      </w:r>
      <w:r w:rsidR="00694A47">
        <w:rPr>
          <w:rFonts w:ascii="Times New Roman" w:hAnsi="Times New Roman" w:cs="Times New Roman"/>
          <w:sz w:val="30"/>
          <w:szCs w:val="30"/>
        </w:rPr>
        <w:t xml:space="preserve">уменьшить </w:t>
      </w:r>
      <w:r w:rsidRPr="006266A8">
        <w:rPr>
          <w:rFonts w:ascii="Times New Roman" w:hAnsi="Times New Roman" w:cs="Times New Roman"/>
          <w:sz w:val="30"/>
          <w:szCs w:val="30"/>
        </w:rPr>
        <w:t>число работников сельскохозяйственных организаций, погибших на производстве, на 20 процентов.</w:t>
      </w:r>
    </w:p>
    <w:p w:rsidR="00782DBD" w:rsidRDefault="00852814" w:rsidP="00782DBD">
      <w:pPr>
        <w:spacing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В результате принятых заинтересованными мер </w:t>
      </w:r>
      <w:r w:rsidR="00694A47">
        <w:rPr>
          <w:rFonts w:ascii="Times New Roman" w:eastAsia="Calibri" w:hAnsi="Times New Roman" w:cs="Times New Roman"/>
          <w:sz w:val="30"/>
          <w:szCs w:val="30"/>
        </w:rPr>
        <w:t>в 2020 году</w:t>
      </w:r>
      <w:r w:rsidRPr="00852814">
        <w:rPr>
          <w:rFonts w:ascii="Times New Roman" w:eastAsia="Calibri" w:hAnsi="Times New Roman" w:cs="Times New Roman"/>
          <w:sz w:val="30"/>
          <w:szCs w:val="30"/>
        </w:rPr>
        <w:t xml:space="preserve"> снизился уровень производственного травматизма. </w:t>
      </w:r>
      <w:r w:rsidRPr="00852814">
        <w:rPr>
          <w:rFonts w:ascii="Times New Roman" w:eastAsia="Calibri" w:hAnsi="Times New Roman" w:cs="Times New Roman"/>
          <w:spacing w:val="-6"/>
          <w:sz w:val="30"/>
          <w:szCs w:val="30"/>
        </w:rPr>
        <w:t>Так, в результате несчастных случаев на производстве в 2020 году травмировано 1889 работающих</w:t>
      </w:r>
      <w:r w:rsidR="00694A47">
        <w:rPr>
          <w:rFonts w:ascii="Times New Roman" w:eastAsia="Calibri" w:hAnsi="Times New Roman" w:cs="Times New Roman"/>
          <w:spacing w:val="-6"/>
          <w:sz w:val="30"/>
          <w:szCs w:val="30"/>
        </w:rPr>
        <w:t xml:space="preserve"> против</w:t>
      </w:r>
      <w:r w:rsidRPr="00852814">
        <w:rPr>
          <w:rFonts w:ascii="Times New Roman" w:eastAsia="Calibri" w:hAnsi="Times New Roman" w:cs="Times New Roman"/>
          <w:spacing w:val="-6"/>
          <w:sz w:val="30"/>
          <w:szCs w:val="30"/>
        </w:rPr>
        <w:t xml:space="preserve"> 2042</w:t>
      </w:r>
      <w:r w:rsidR="00694A47">
        <w:rPr>
          <w:rFonts w:ascii="Times New Roman" w:eastAsia="Calibri" w:hAnsi="Times New Roman" w:cs="Times New Roman"/>
          <w:spacing w:val="-6"/>
          <w:sz w:val="30"/>
          <w:szCs w:val="30"/>
        </w:rPr>
        <w:t xml:space="preserve"> </w:t>
      </w:r>
      <w:r w:rsidR="00694A47" w:rsidRPr="00852814">
        <w:rPr>
          <w:rFonts w:ascii="Times New Roman" w:eastAsia="Calibri" w:hAnsi="Times New Roman" w:cs="Times New Roman"/>
          <w:spacing w:val="-6"/>
          <w:sz w:val="30"/>
          <w:szCs w:val="30"/>
        </w:rPr>
        <w:t>в 2019 году</w:t>
      </w:r>
      <w:r w:rsidRPr="00852814">
        <w:rPr>
          <w:rFonts w:ascii="Times New Roman" w:eastAsia="Calibri" w:hAnsi="Times New Roman" w:cs="Times New Roman"/>
          <w:spacing w:val="-6"/>
          <w:sz w:val="30"/>
          <w:szCs w:val="30"/>
        </w:rPr>
        <w:t>, из них погибло на производстве 139 человек (в 2019 году – 141).</w:t>
      </w:r>
      <w:r w:rsidRPr="00852814">
        <w:rPr>
          <w:rFonts w:ascii="Times New Roman" w:eastAsia="Calibri" w:hAnsi="Times New Roman" w:cs="Times New Roman"/>
          <w:sz w:val="30"/>
          <w:szCs w:val="30"/>
        </w:rPr>
        <w:t xml:space="preserve"> </w:t>
      </w:r>
    </w:p>
    <w:p w:rsidR="00782DBD" w:rsidRDefault="00782DBD" w:rsidP="00782DBD">
      <w:pPr>
        <w:spacing w:after="0" w:line="240" w:lineRule="auto"/>
        <w:ind w:firstLine="709"/>
        <w:jc w:val="both"/>
        <w:rPr>
          <w:rFonts w:ascii="Times New Roman" w:eastAsia="Calibri" w:hAnsi="Times New Roman" w:cs="Times New Roman"/>
          <w:sz w:val="30"/>
          <w:szCs w:val="30"/>
        </w:rPr>
      </w:pPr>
    </w:p>
    <w:p w:rsidR="00782DBD" w:rsidRDefault="00782DBD" w:rsidP="00782DB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noProof/>
          <w:sz w:val="30"/>
          <w:szCs w:val="30"/>
          <w:lang w:val="en-US"/>
        </w:rPr>
        <w:drawing>
          <wp:inline distT="0" distB="0" distL="0" distR="0">
            <wp:extent cx="5486400" cy="200501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2DBD" w:rsidRPr="00F479A4" w:rsidRDefault="00307E3D" w:rsidP="00782DBD">
      <w:pPr>
        <w:spacing w:after="0" w:line="240" w:lineRule="auto"/>
        <w:ind w:firstLine="709"/>
        <w:jc w:val="both"/>
        <w:rPr>
          <w:rFonts w:ascii="Times New Roman" w:eastAsia="Calibri" w:hAnsi="Times New Roman" w:cs="Times New Roman"/>
          <w:i/>
          <w:sz w:val="30"/>
          <w:szCs w:val="30"/>
        </w:rPr>
      </w:pPr>
      <w:r w:rsidRPr="00F479A4">
        <w:rPr>
          <w:rFonts w:ascii="Times New Roman" w:eastAsia="Calibri" w:hAnsi="Times New Roman" w:cs="Times New Roman"/>
          <w:i/>
          <w:sz w:val="30"/>
          <w:szCs w:val="30"/>
        </w:rPr>
        <w:t>Рис.1 Динамика производственного травматизма, человек</w:t>
      </w:r>
    </w:p>
    <w:p w:rsidR="00782DBD" w:rsidRDefault="00782DBD" w:rsidP="00782DBD">
      <w:pPr>
        <w:spacing w:after="0" w:line="240" w:lineRule="auto"/>
        <w:ind w:firstLine="709"/>
        <w:jc w:val="both"/>
        <w:rPr>
          <w:rFonts w:ascii="Times New Roman" w:eastAsia="Calibri" w:hAnsi="Times New Roman" w:cs="Times New Roman"/>
          <w:sz w:val="30"/>
          <w:szCs w:val="30"/>
        </w:rPr>
      </w:pPr>
    </w:p>
    <w:p w:rsidR="00F479A4" w:rsidRDefault="00852814" w:rsidP="00F479A4">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Следует отметить, что удельный вес количества погибших в </w:t>
      </w:r>
      <w:r w:rsidRPr="00F479A4">
        <w:rPr>
          <w:rFonts w:ascii="Times New Roman" w:eastAsia="Calibri" w:hAnsi="Times New Roman" w:cs="Times New Roman"/>
          <w:sz w:val="30"/>
          <w:szCs w:val="30"/>
        </w:rPr>
        <w:t xml:space="preserve">результате несчастных случаев на производстве в сравнении с общим </w:t>
      </w:r>
      <w:r w:rsidRPr="00852814">
        <w:rPr>
          <w:rFonts w:ascii="Times New Roman" w:eastAsia="Calibri" w:hAnsi="Times New Roman" w:cs="Times New Roman"/>
          <w:sz w:val="30"/>
          <w:szCs w:val="30"/>
        </w:rPr>
        <w:t>количеством лиц, погибших от внешних причин, не превышает 3</w:t>
      </w:r>
      <w:r w:rsidRPr="00852814">
        <w:rPr>
          <w:rFonts w:ascii="Times New Roman" w:eastAsia="Calibri" w:hAnsi="Times New Roman" w:cs="Times New Roman"/>
          <w:sz w:val="30"/>
          <w:szCs w:val="30"/>
          <w:lang w:val="en-US"/>
        </w:rPr>
        <w:t> </w:t>
      </w:r>
      <w:r w:rsidRPr="00852814">
        <w:rPr>
          <w:rFonts w:ascii="Times New Roman" w:eastAsia="Calibri" w:hAnsi="Times New Roman" w:cs="Times New Roman"/>
          <w:sz w:val="30"/>
          <w:szCs w:val="30"/>
        </w:rPr>
        <w:t>процентов</w:t>
      </w:r>
      <w:r w:rsidR="00F479A4">
        <w:rPr>
          <w:rFonts w:ascii="Times New Roman" w:eastAsia="Calibri" w:hAnsi="Times New Roman" w:cs="Times New Roman"/>
          <w:sz w:val="30"/>
          <w:szCs w:val="30"/>
        </w:rPr>
        <w:t>.</w:t>
      </w:r>
      <w:r w:rsidRPr="00852814">
        <w:rPr>
          <w:rFonts w:ascii="Times New Roman" w:eastAsia="Calibri" w:hAnsi="Times New Roman" w:cs="Times New Roman"/>
          <w:sz w:val="30"/>
          <w:szCs w:val="30"/>
        </w:rPr>
        <w:t xml:space="preserve"> </w:t>
      </w:r>
    </w:p>
    <w:p w:rsidR="00852814" w:rsidRDefault="00EC3E3F" w:rsidP="00F479A4">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852814" w:rsidRPr="00852814">
        <w:rPr>
          <w:rFonts w:ascii="Times New Roman" w:eastAsia="Calibri" w:hAnsi="Times New Roman" w:cs="Times New Roman"/>
          <w:sz w:val="30"/>
          <w:szCs w:val="30"/>
        </w:rPr>
        <w:t xml:space="preserve"> 2020 году в результате несчастных случаев на производстве потеряно 72,9 тыс. человеко-дней (в 2019 году – 79,4). </w:t>
      </w:r>
      <w:r>
        <w:rPr>
          <w:rFonts w:ascii="Times New Roman" w:eastAsia="Calibri" w:hAnsi="Times New Roman" w:cs="Times New Roman"/>
          <w:sz w:val="30"/>
          <w:szCs w:val="30"/>
        </w:rPr>
        <w:t>В</w:t>
      </w:r>
      <w:r w:rsidR="00852814" w:rsidRPr="00852814">
        <w:rPr>
          <w:rFonts w:ascii="Times New Roman" w:eastAsia="Calibri" w:hAnsi="Times New Roman" w:cs="Times New Roman"/>
          <w:sz w:val="30"/>
          <w:szCs w:val="30"/>
        </w:rPr>
        <w:t>ыплаты по обязательному страхованию от несчастных случаев на производстве и профессиональных заболеваний составили свыше 137 млн. рублей (в 2019 году</w:t>
      </w:r>
      <w:r>
        <w:rPr>
          <w:rFonts w:ascii="Times New Roman" w:eastAsia="Calibri" w:hAnsi="Times New Roman" w:cs="Times New Roman"/>
          <w:sz w:val="30"/>
          <w:szCs w:val="30"/>
        </w:rPr>
        <w:t xml:space="preserve"> - </w:t>
      </w:r>
      <w:r w:rsidR="00852814" w:rsidRPr="00852814">
        <w:rPr>
          <w:rFonts w:ascii="Times New Roman" w:eastAsia="Calibri" w:hAnsi="Times New Roman" w:cs="Times New Roman"/>
          <w:sz w:val="30"/>
          <w:szCs w:val="30"/>
        </w:rPr>
        <w:t>126,5 млн. рублей).</w:t>
      </w:r>
      <w:r w:rsidR="00F479A4">
        <w:rPr>
          <w:rFonts w:ascii="Times New Roman" w:eastAsia="Calibri" w:hAnsi="Times New Roman" w:cs="Times New Roman"/>
          <w:sz w:val="30"/>
          <w:szCs w:val="30"/>
        </w:rPr>
        <w:t xml:space="preserve"> </w:t>
      </w:r>
      <w:r w:rsidR="00852814" w:rsidRPr="00852814">
        <w:rPr>
          <w:rFonts w:ascii="Times New Roman" w:eastAsia="Calibri" w:hAnsi="Times New Roman" w:cs="Times New Roman"/>
          <w:sz w:val="30"/>
          <w:szCs w:val="30"/>
        </w:rPr>
        <w:t>При этом более 90 процентов указанных выплат составляют ежемесячные страховые выплаты.</w:t>
      </w:r>
    </w:p>
    <w:p w:rsidR="00F479A4" w:rsidRPr="00F479A4" w:rsidRDefault="00F479A4" w:rsidP="00F479A4">
      <w:pPr>
        <w:spacing w:after="0" w:line="240" w:lineRule="auto"/>
        <w:ind w:firstLine="720"/>
        <w:jc w:val="both"/>
        <w:rPr>
          <w:rFonts w:ascii="Times New Roman" w:eastAsia="Calibri" w:hAnsi="Times New Roman" w:cs="Times New Roman"/>
          <w:sz w:val="30"/>
          <w:szCs w:val="30"/>
        </w:rPr>
      </w:pPr>
      <w:r w:rsidRPr="00F479A4">
        <w:rPr>
          <w:rFonts w:ascii="Times New Roman" w:eastAsia="Calibri" w:hAnsi="Times New Roman" w:cs="Times New Roman"/>
          <w:sz w:val="30"/>
          <w:szCs w:val="30"/>
        </w:rPr>
        <w:t>Вследствие несчастных случаев на производстве в 2020 году инвалидами признано 123 человека, 200 – установлен процент утраты трудоспособности без установления инвалидности.</w:t>
      </w:r>
    </w:p>
    <w:p w:rsidR="00852814" w:rsidRDefault="00852814"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lastRenderedPageBreak/>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2020 году составил 49,1                          (в 2019 году – 51,8), коэффициент частоты смертельного травмирования, как и в 2019 году составил 3,6.</w:t>
      </w:r>
      <w:r w:rsidR="001B1000">
        <w:rPr>
          <w:rFonts w:ascii="Times New Roman" w:eastAsia="Calibri" w:hAnsi="Times New Roman" w:cs="Times New Roman"/>
          <w:sz w:val="30"/>
          <w:szCs w:val="30"/>
        </w:rPr>
        <w:t xml:space="preserve"> Коэффициент</w:t>
      </w:r>
      <w:r w:rsidR="005B4650">
        <w:rPr>
          <w:rFonts w:ascii="Times New Roman" w:eastAsia="Calibri" w:hAnsi="Times New Roman" w:cs="Times New Roman"/>
          <w:sz w:val="30"/>
          <w:szCs w:val="30"/>
        </w:rPr>
        <w:t>ы</w:t>
      </w:r>
      <w:r w:rsidR="001B1000">
        <w:rPr>
          <w:rFonts w:ascii="Times New Roman" w:eastAsia="Calibri" w:hAnsi="Times New Roman" w:cs="Times New Roman"/>
          <w:sz w:val="30"/>
          <w:szCs w:val="30"/>
        </w:rPr>
        <w:t xml:space="preserve"> частоты производственного травматизма в разрезе регионов представлены на рисунке 2. </w:t>
      </w:r>
    </w:p>
    <w:p w:rsidR="0032440A" w:rsidRDefault="0032440A"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5B4650" w:rsidRDefault="005B4650" w:rsidP="002A17C7">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5B4650" w:rsidRDefault="006B48BC" w:rsidP="0032440A">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noProof/>
          <w:sz w:val="30"/>
          <w:szCs w:val="30"/>
          <w:lang w:val="en-US"/>
        </w:rPr>
        <w:drawing>
          <wp:inline distT="0" distB="0" distL="0" distR="0" wp14:anchorId="1857288E" wp14:editId="62BB8DED">
            <wp:extent cx="5486400" cy="1938338"/>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7DC0" w:rsidRDefault="0032440A" w:rsidP="000E1E8A">
      <w:pPr>
        <w:widowControl w:val="0"/>
        <w:autoSpaceDE w:val="0"/>
        <w:autoSpaceDN w:val="0"/>
        <w:adjustRightInd w:val="0"/>
        <w:spacing w:before="240" w:after="0" w:line="240" w:lineRule="auto"/>
        <w:jc w:val="both"/>
        <w:rPr>
          <w:rFonts w:ascii="Times New Roman" w:eastAsia="Calibri" w:hAnsi="Times New Roman" w:cs="Times New Roman"/>
          <w:sz w:val="30"/>
          <w:szCs w:val="30"/>
        </w:rPr>
      </w:pPr>
      <w:r>
        <w:rPr>
          <w:rFonts w:ascii="Times New Roman" w:eastAsia="Calibri" w:hAnsi="Times New Roman" w:cs="Times New Roman"/>
          <w:noProof/>
          <w:sz w:val="30"/>
          <w:szCs w:val="30"/>
          <w:lang w:val="en-US"/>
        </w:rPr>
        <w:drawing>
          <wp:inline distT="0" distB="0" distL="0" distR="0" wp14:anchorId="0377EAAB" wp14:editId="2A725A8B">
            <wp:extent cx="5486400" cy="1890713"/>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17C7" w:rsidRPr="002A17C7" w:rsidRDefault="002A17C7" w:rsidP="002A17C7">
      <w:pPr>
        <w:spacing w:after="0" w:line="240" w:lineRule="auto"/>
        <w:ind w:firstLine="709"/>
        <w:rPr>
          <w:rFonts w:ascii="Times New Roman" w:eastAsia="Calibri" w:hAnsi="Times New Roman" w:cs="Times New Roman"/>
          <w:i/>
          <w:sz w:val="30"/>
          <w:szCs w:val="30"/>
        </w:rPr>
      </w:pPr>
      <w:r w:rsidRPr="002A17C7">
        <w:rPr>
          <w:rFonts w:ascii="Times New Roman" w:eastAsia="Calibri" w:hAnsi="Times New Roman" w:cs="Times New Roman"/>
          <w:i/>
          <w:sz w:val="30"/>
          <w:szCs w:val="30"/>
        </w:rPr>
        <w:t>Рис.2  Коэффициенты частоты производственного травматизма в разрезе регионов за 2020 год</w:t>
      </w:r>
      <w:r>
        <w:rPr>
          <w:rFonts w:ascii="Times New Roman" w:eastAsia="Calibri" w:hAnsi="Times New Roman" w:cs="Times New Roman"/>
          <w:i/>
          <w:sz w:val="30"/>
          <w:szCs w:val="30"/>
        </w:rPr>
        <w:t>, случаев на 100 тыс. застрахованных</w:t>
      </w:r>
      <w:r w:rsidRPr="002A17C7">
        <w:rPr>
          <w:rFonts w:ascii="Times New Roman" w:eastAsia="Calibri" w:hAnsi="Times New Roman" w:cs="Times New Roman"/>
          <w:i/>
          <w:sz w:val="30"/>
          <w:szCs w:val="30"/>
        </w:rPr>
        <w:t>.</w:t>
      </w:r>
    </w:p>
    <w:p w:rsidR="001B1000" w:rsidRDefault="001B1000" w:rsidP="002A17C7">
      <w:pPr>
        <w:spacing w:after="0" w:line="240" w:lineRule="auto"/>
        <w:ind w:firstLine="709"/>
        <w:jc w:val="both"/>
        <w:rPr>
          <w:rFonts w:ascii="Times New Roman" w:eastAsia="Calibri" w:hAnsi="Times New Roman" w:cs="Times New Roman"/>
          <w:sz w:val="30"/>
          <w:szCs w:val="30"/>
        </w:rPr>
      </w:pPr>
    </w:p>
    <w:p w:rsidR="002A17C7" w:rsidRDefault="00852814" w:rsidP="002A17C7">
      <w:pPr>
        <w:spacing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Наибольший удельный вес среди пострадавших в 2020 году в результате несчастных случаев на производстве составили работающие в возрастном диапазоне «51 – 60 лет (включительно)»</w:t>
      </w:r>
      <w:r w:rsidR="002A17C7">
        <w:rPr>
          <w:rFonts w:ascii="Times New Roman" w:eastAsia="Calibri" w:hAnsi="Times New Roman" w:cs="Times New Roman"/>
          <w:sz w:val="30"/>
          <w:szCs w:val="30"/>
        </w:rPr>
        <w:t>.</w:t>
      </w:r>
    </w:p>
    <w:p w:rsidR="00852814" w:rsidRPr="00852814" w:rsidRDefault="00852814" w:rsidP="002A17C7">
      <w:pPr>
        <w:spacing w:after="0" w:line="240" w:lineRule="auto"/>
        <w:ind w:firstLine="709"/>
        <w:jc w:val="right"/>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 </w:t>
      </w:r>
    </w:p>
    <w:p w:rsidR="00852814" w:rsidRPr="00852814" w:rsidRDefault="00852814" w:rsidP="002A17C7">
      <w:pPr>
        <w:widowControl w:val="0"/>
        <w:autoSpaceDE w:val="0"/>
        <w:autoSpaceDN w:val="0"/>
        <w:adjustRightInd w:val="0"/>
        <w:spacing w:after="0" w:line="240" w:lineRule="auto"/>
        <w:jc w:val="center"/>
        <w:rPr>
          <w:rFonts w:ascii="Times New Roman" w:eastAsia="Calibri" w:hAnsi="Times New Roman" w:cs="Times New Roman"/>
          <w:sz w:val="30"/>
          <w:szCs w:val="30"/>
        </w:rPr>
      </w:pPr>
      <w:r w:rsidRPr="00852814">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56"/>
        <w:gridCol w:w="1657"/>
        <w:gridCol w:w="1657"/>
        <w:gridCol w:w="1657"/>
      </w:tblGrid>
      <w:tr w:rsidR="00852814" w:rsidRPr="00852814" w:rsidTr="00852814">
        <w:tc>
          <w:tcPr>
            <w:tcW w:w="2943"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Всего / удельный вес от их общего количества, %</w:t>
            </w:r>
          </w:p>
        </w:tc>
        <w:tc>
          <w:tcPr>
            <w:tcW w:w="331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из них со смертельным исходом / от их общего количества, %</w:t>
            </w:r>
          </w:p>
        </w:tc>
      </w:tr>
      <w:tr w:rsidR="00852814" w:rsidRPr="00852814" w:rsidTr="00852814">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r>
      <w:tr w:rsidR="00852814" w:rsidRPr="00852814" w:rsidTr="00852814">
        <w:trPr>
          <w:trHeight w:val="503"/>
        </w:trPr>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lastRenderedPageBreak/>
              <w:t>до 18 лет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12/0,6</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5/0,3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12"/>
              <w:jc w:val="center"/>
              <w:rPr>
                <w:rFonts w:ascii="Times New Roman" w:eastAsia="Calibri" w:hAnsi="Times New Roman" w:cs="Times New Roman"/>
                <w:b/>
                <w:sz w:val="26"/>
                <w:szCs w:val="26"/>
              </w:rPr>
            </w:pPr>
            <w:r w:rsidRPr="00852814">
              <w:rPr>
                <w:rFonts w:ascii="Times New Roman" w:eastAsia="Calibri" w:hAnsi="Times New Roman" w:cs="Times New Roman"/>
                <w:b/>
                <w:sz w:val="26"/>
                <w:szCs w:val="26"/>
              </w:rPr>
              <w:t>-</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1/0,7</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385/18,9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369/19,5</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13/9,2</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17/12,2</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436/21,3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414/21,9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27/19,1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27/19,4</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493/24,1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424/22,4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28/19,9</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31/22,3</w:t>
            </w:r>
          </w:p>
        </w:tc>
      </w:tr>
      <w:tr w:rsidR="00852814" w:rsidRPr="00852814" w:rsidTr="00852814">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577/28,3</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530/28,1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57/40,4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53/38,1</w:t>
            </w:r>
          </w:p>
        </w:tc>
      </w:tr>
      <w:tr w:rsidR="00852814" w:rsidRPr="00852814" w:rsidTr="00852814">
        <w:trPr>
          <w:trHeight w:val="589"/>
        </w:trPr>
        <w:tc>
          <w:tcPr>
            <w:tcW w:w="2943"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139/6,8</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147/7,8</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16/11,4</w:t>
            </w:r>
          </w:p>
        </w:tc>
        <w:tc>
          <w:tcPr>
            <w:tcW w:w="165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414"/>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10/7,3</w:t>
            </w:r>
          </w:p>
        </w:tc>
      </w:tr>
    </w:tbl>
    <w:p w:rsidR="00852814" w:rsidRDefault="00852814" w:rsidP="00852814">
      <w:pPr>
        <w:spacing w:before="240" w:after="24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Анализ показывает, что чаще гибнут на производстве работники, имеющие стаж работы по профессии менее 5 лет, при этом каждый пятый погибший, на момент травмирования имел стаж работы по специальности менее одного года</w:t>
      </w:r>
      <w:r w:rsidR="00F25534">
        <w:rPr>
          <w:rFonts w:ascii="Times New Roman" w:eastAsia="Calibri" w:hAnsi="Times New Roman" w:cs="Times New Roman"/>
          <w:sz w:val="30"/>
          <w:szCs w:val="30"/>
        </w:rPr>
        <w:t xml:space="preserve"> (рисунок 3)</w:t>
      </w:r>
      <w:r w:rsidR="00782DBD">
        <w:rPr>
          <w:rFonts w:ascii="Times New Roman" w:eastAsia="Calibri" w:hAnsi="Times New Roman" w:cs="Times New Roman"/>
          <w:sz w:val="30"/>
          <w:szCs w:val="30"/>
        </w:rPr>
        <w:t>.</w:t>
      </w:r>
      <w:r w:rsidRPr="00852814">
        <w:rPr>
          <w:rFonts w:ascii="Times New Roman" w:eastAsia="Calibri" w:hAnsi="Times New Roman" w:cs="Times New Roman"/>
          <w:sz w:val="30"/>
          <w:szCs w:val="30"/>
        </w:rPr>
        <w:t xml:space="preserve"> </w:t>
      </w:r>
    </w:p>
    <w:p w:rsidR="001B1000" w:rsidRPr="00F25534" w:rsidRDefault="001B1000" w:rsidP="00F25534">
      <w:pPr>
        <w:spacing w:before="240" w:after="240" w:line="240" w:lineRule="auto"/>
        <w:ind w:left="708" w:firstLine="1"/>
        <w:jc w:val="both"/>
        <w:rPr>
          <w:rFonts w:ascii="Times New Roman" w:eastAsia="Calibri" w:hAnsi="Times New Roman" w:cs="Times New Roman"/>
          <w:sz w:val="30"/>
          <w:szCs w:val="30"/>
        </w:rPr>
      </w:pPr>
      <w:r>
        <w:rPr>
          <w:rFonts w:ascii="Times New Roman" w:eastAsia="Calibri" w:hAnsi="Times New Roman" w:cs="Times New Roman"/>
          <w:noProof/>
          <w:sz w:val="30"/>
          <w:szCs w:val="30"/>
          <w:lang w:val="en-US"/>
        </w:rPr>
        <w:drawing>
          <wp:inline distT="0" distB="0" distL="0" distR="0" wp14:anchorId="72E023C5" wp14:editId="1BC92EAF">
            <wp:extent cx="5486400" cy="1962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25534" w:rsidRPr="00F25534">
        <w:rPr>
          <w:rFonts w:ascii="Times New Roman" w:eastAsia="Calibri" w:hAnsi="Times New Roman" w:cs="Times New Roman"/>
          <w:i/>
          <w:sz w:val="30"/>
          <w:szCs w:val="30"/>
        </w:rPr>
        <w:t>Рис.3 Удельный вес погибших в результате несчастных случаев на производстве в зависимости от стажа работы по профессии, %</w:t>
      </w:r>
    </w:p>
    <w:p w:rsidR="00852814" w:rsidRPr="00852814" w:rsidRDefault="00852814" w:rsidP="00852814">
      <w:pPr>
        <w:spacing w:before="240" w:after="0" w:line="240" w:lineRule="auto"/>
        <w:ind w:firstLine="708"/>
        <w:jc w:val="both"/>
        <w:rPr>
          <w:rFonts w:ascii="Times New Roman" w:eastAsia="Calibri" w:hAnsi="Times New Roman" w:cs="Times New Roman"/>
          <w:spacing w:val="-2"/>
          <w:sz w:val="30"/>
          <w:szCs w:val="30"/>
        </w:rPr>
      </w:pPr>
      <w:r w:rsidRPr="00852814">
        <w:rPr>
          <w:rFonts w:ascii="Times New Roman" w:eastAsia="Calibri" w:hAnsi="Times New Roman" w:cs="Times New Roman"/>
          <w:spacing w:val="-2"/>
          <w:sz w:val="30"/>
          <w:szCs w:val="30"/>
        </w:rPr>
        <w:t>В 2020 году риску травмирования и гибели на производстве наиболее подвергались работники следующих профессий: водители автомобилей, слесари, животноводы и подсобные рабочие</w:t>
      </w:r>
      <w:r w:rsidR="00A324A6">
        <w:rPr>
          <w:rFonts w:ascii="Times New Roman" w:eastAsia="Calibri" w:hAnsi="Times New Roman" w:cs="Times New Roman"/>
          <w:spacing w:val="-2"/>
          <w:sz w:val="30"/>
          <w:szCs w:val="30"/>
        </w:rPr>
        <w:t>, т</w:t>
      </w:r>
      <w:r w:rsidR="00F479A4">
        <w:rPr>
          <w:rFonts w:ascii="Times New Roman" w:eastAsia="Calibri" w:hAnsi="Times New Roman" w:cs="Times New Roman"/>
          <w:spacing w:val="-2"/>
          <w:sz w:val="30"/>
          <w:szCs w:val="30"/>
        </w:rPr>
        <w:t>р</w:t>
      </w:r>
      <w:r w:rsidR="00A324A6">
        <w:rPr>
          <w:rFonts w:ascii="Times New Roman" w:eastAsia="Calibri" w:hAnsi="Times New Roman" w:cs="Times New Roman"/>
          <w:spacing w:val="-2"/>
          <w:sz w:val="30"/>
          <w:szCs w:val="30"/>
        </w:rPr>
        <w:t>актористы</w:t>
      </w:r>
      <w:r w:rsidRPr="00852814">
        <w:rPr>
          <w:rFonts w:ascii="Times New Roman" w:eastAsia="Calibri" w:hAnsi="Times New Roman" w:cs="Times New Roman"/>
          <w:spacing w:val="-2"/>
          <w:sz w:val="30"/>
          <w:szCs w:val="30"/>
        </w:rPr>
        <w:t xml:space="preserve">. </w:t>
      </w:r>
    </w:p>
    <w:p w:rsidR="00852814" w:rsidRPr="00852814" w:rsidRDefault="00852814" w:rsidP="00852814">
      <w:pPr>
        <w:spacing w:after="0" w:line="240" w:lineRule="auto"/>
        <w:ind w:firstLine="708"/>
        <w:jc w:val="right"/>
        <w:rPr>
          <w:rFonts w:ascii="Times New Roman" w:eastAsia="Calibri" w:hAnsi="Times New Roman" w:cs="Times New Roman"/>
          <w:sz w:val="30"/>
          <w:szCs w:val="30"/>
        </w:rPr>
      </w:pPr>
    </w:p>
    <w:p w:rsidR="00852814" w:rsidRPr="00852814" w:rsidRDefault="00852814" w:rsidP="00852814">
      <w:pPr>
        <w:spacing w:after="240" w:line="-278" w:lineRule="auto"/>
        <w:jc w:val="center"/>
        <w:rPr>
          <w:rFonts w:ascii="Times New Roman" w:eastAsia="Calibri" w:hAnsi="Times New Roman" w:cs="Times New Roman"/>
          <w:spacing w:val="-2"/>
          <w:sz w:val="30"/>
          <w:szCs w:val="30"/>
        </w:rPr>
      </w:pPr>
      <w:r w:rsidRPr="00852814">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2020 году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92"/>
        <w:gridCol w:w="2144"/>
      </w:tblGrid>
      <w:tr w:rsidR="00852814" w:rsidRPr="00852814" w:rsidTr="00F25534">
        <w:trPr>
          <w:trHeight w:val="544"/>
        </w:trPr>
        <w:tc>
          <w:tcPr>
            <w:tcW w:w="5637" w:type="dxa"/>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auto"/>
              <w:jc w:val="center"/>
              <w:rPr>
                <w:rFonts w:ascii="Times New Roman" w:eastAsia="Calibri" w:hAnsi="Times New Roman" w:cs="Times New Roman"/>
                <w:sz w:val="26"/>
                <w:szCs w:val="26"/>
              </w:rPr>
            </w:pPr>
          </w:p>
        </w:tc>
        <w:tc>
          <w:tcPr>
            <w:tcW w:w="2392"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Всего</w:t>
            </w:r>
          </w:p>
        </w:tc>
        <w:tc>
          <w:tcPr>
            <w:tcW w:w="2144"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из них погибших</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Водитель автомобиля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lang w:eastAsia="ru-RU"/>
              </w:rPr>
            </w:pPr>
            <w:r w:rsidRPr="00852814">
              <w:rPr>
                <w:rFonts w:ascii="Times New Roman" w:eastAsia="Calibri" w:hAnsi="Times New Roman" w:cs="Times New Roman"/>
                <w:color w:val="000000"/>
                <w:sz w:val="26"/>
                <w:szCs w:val="26"/>
              </w:rPr>
              <w:t>175</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lang w:eastAsia="ru-RU"/>
              </w:rPr>
            </w:pPr>
            <w:r w:rsidRPr="00852814">
              <w:rPr>
                <w:rFonts w:ascii="Times New Roman" w:eastAsia="Calibri" w:hAnsi="Times New Roman" w:cs="Times New Roman"/>
                <w:color w:val="000000"/>
                <w:sz w:val="26"/>
                <w:szCs w:val="26"/>
              </w:rPr>
              <w:t>16</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Слесарь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159</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10</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Животновод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96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Подсобный рабочий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88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8</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Тракторист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78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13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Электрогазосварщик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7</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rPr>
                <w:rFonts w:ascii="Times New Roman" w:eastAsia="Calibri" w:hAnsi="Times New Roman" w:cs="Times New Roman"/>
                <w:sz w:val="26"/>
                <w:szCs w:val="26"/>
              </w:rPr>
            </w:pPr>
            <w:r w:rsidRPr="00852814">
              <w:rPr>
                <w:rFonts w:ascii="Times New Roman" w:eastAsia="Calibri" w:hAnsi="Times New Roman" w:cs="Times New Roman"/>
                <w:sz w:val="26"/>
                <w:szCs w:val="26"/>
              </w:rPr>
              <w:lastRenderedPageBreak/>
              <w:t>Станочник деревообрабатывающих станков</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53</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Электромонтер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48</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9</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Оператор машинного доения</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Плотник (бетонщик)</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30</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4</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Сторож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26</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Уборщик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24</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Вальщик леса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22</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3</w:t>
            </w:r>
          </w:p>
        </w:tc>
      </w:tr>
      <w:tr w:rsidR="00852814" w:rsidRPr="00852814" w:rsidTr="00F25534">
        <w:tc>
          <w:tcPr>
            <w:tcW w:w="563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both"/>
              <w:rPr>
                <w:rFonts w:ascii="Times New Roman" w:eastAsia="Calibri" w:hAnsi="Times New Roman" w:cs="Times New Roman"/>
                <w:sz w:val="26"/>
                <w:szCs w:val="26"/>
              </w:rPr>
            </w:pPr>
            <w:r w:rsidRPr="00852814">
              <w:rPr>
                <w:rFonts w:ascii="Times New Roman" w:eastAsia="Calibri" w:hAnsi="Times New Roman" w:cs="Times New Roman"/>
                <w:sz w:val="26"/>
                <w:szCs w:val="26"/>
              </w:rPr>
              <w:t xml:space="preserve">Каменщик </w:t>
            </w:r>
          </w:p>
        </w:tc>
        <w:tc>
          <w:tcPr>
            <w:tcW w:w="239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862"/>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20</w:t>
            </w:r>
          </w:p>
        </w:tc>
        <w:tc>
          <w:tcPr>
            <w:tcW w:w="2144"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986"/>
              <w:jc w:val="right"/>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5</w:t>
            </w:r>
          </w:p>
        </w:tc>
      </w:tr>
    </w:tbl>
    <w:p w:rsidR="00852814" w:rsidRDefault="00852814" w:rsidP="00852814">
      <w:pPr>
        <w:spacing w:before="240" w:after="0" w:line="240" w:lineRule="auto"/>
        <w:ind w:firstLine="709"/>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 xml:space="preserve">Мониторинг производственного травматизма показал, что основными факторами травмирования </w:t>
      </w:r>
      <w:r w:rsidR="00EC3E3F">
        <w:rPr>
          <w:rFonts w:ascii="Times New Roman" w:eastAsia="Calibri" w:hAnsi="Times New Roman" w:cs="Times New Roman"/>
          <w:sz w:val="30"/>
          <w:szCs w:val="30"/>
        </w:rPr>
        <w:t>работников</w:t>
      </w:r>
      <w:r w:rsidRPr="00852814">
        <w:rPr>
          <w:rFonts w:ascii="Times New Roman" w:eastAsia="Calibri" w:hAnsi="Times New Roman" w:cs="Times New Roman"/>
          <w:sz w:val="30"/>
          <w:szCs w:val="30"/>
        </w:rPr>
        <w:t xml:space="preserve"> на производстве в 2020 году явились воздействие движущихся, разлетающихся, вращающихся предметов и деталей, а также падение потерпевшего во время передвижения и с высоты. Удельный вес травмированных на производстве и погибших в 2020 и 2019 годах в организациях республики по основным видам происшествий приведен в таблице.</w:t>
      </w:r>
    </w:p>
    <w:p w:rsidR="003810EC" w:rsidRPr="00852814" w:rsidRDefault="003810EC" w:rsidP="003810EC">
      <w:pPr>
        <w:spacing w:after="0" w:line="240" w:lineRule="auto"/>
        <w:ind w:firstLine="709"/>
        <w:jc w:val="both"/>
        <w:rPr>
          <w:rFonts w:ascii="Times New Roman" w:eastAsia="Calibri" w:hAnsi="Times New Roman" w:cs="Times New Roman"/>
          <w:sz w:val="30"/>
          <w:szCs w:val="30"/>
        </w:rPr>
      </w:pPr>
    </w:p>
    <w:p w:rsidR="00852814" w:rsidRPr="00852814" w:rsidRDefault="00852814" w:rsidP="00852814">
      <w:pPr>
        <w:spacing w:after="240" w:line="280" w:lineRule="exact"/>
        <w:jc w:val="center"/>
        <w:rPr>
          <w:rFonts w:ascii="Times New Roman" w:eastAsia="Calibri" w:hAnsi="Times New Roman" w:cs="Times New Roman"/>
          <w:sz w:val="30"/>
          <w:szCs w:val="30"/>
        </w:rPr>
      </w:pPr>
      <w:r w:rsidRPr="00852814">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852814" w:rsidRPr="00852814" w:rsidTr="007B0D03">
        <w:tc>
          <w:tcPr>
            <w:tcW w:w="4786"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Удельный вес от общего количества травмированных, %</w:t>
            </w:r>
          </w:p>
        </w:tc>
        <w:tc>
          <w:tcPr>
            <w:tcW w:w="2534" w:type="dxa"/>
            <w:gridSpan w:val="2"/>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Удельный вес от общего количества погибших, %</w:t>
            </w:r>
          </w:p>
        </w:tc>
      </w:tr>
      <w:tr w:rsidR="00852814" w:rsidRPr="00852814" w:rsidTr="007B0D03">
        <w:trPr>
          <w:trHeight w:val="294"/>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exact"/>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2020 г.</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
                <w:color w:val="000000"/>
                <w:sz w:val="26"/>
                <w:szCs w:val="26"/>
              </w:rPr>
            </w:pPr>
            <w:r w:rsidRPr="00852814">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b/>
                <w:sz w:val="26"/>
                <w:szCs w:val="26"/>
              </w:rPr>
            </w:pPr>
            <w:r w:rsidRPr="00852814">
              <w:rPr>
                <w:rFonts w:ascii="Times New Roman" w:eastAsia="Calibri" w:hAnsi="Times New Roman" w:cs="Times New Roman"/>
                <w:b/>
                <w:sz w:val="26"/>
                <w:szCs w:val="26"/>
              </w:rPr>
              <w:t>100,0</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30,7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29,8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24,8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20,9</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0,7</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12,5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10,6</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20,9</w:t>
            </w:r>
          </w:p>
        </w:tc>
      </w:tr>
      <w:tr w:rsidR="00852814" w:rsidRPr="00852814" w:rsidTr="007B0D03">
        <w:trPr>
          <w:trHeight w:val="235"/>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22,0</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20,2</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8,1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9,8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17,7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13,7</w:t>
            </w:r>
          </w:p>
        </w:tc>
      </w:tr>
      <w:tr w:rsidR="00852814" w:rsidRPr="00852814" w:rsidTr="007B0D03">
        <w:trPr>
          <w:trHeight w:val="236"/>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1,3</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7,1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5,8</w:t>
            </w:r>
          </w:p>
        </w:tc>
      </w:tr>
      <w:tr w:rsidR="00852814" w:rsidRPr="00852814" w:rsidTr="007B0D03">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1,4</w:t>
            </w:r>
          </w:p>
        </w:tc>
      </w:tr>
      <w:tr w:rsidR="00852814" w:rsidRPr="00852814" w:rsidTr="007B0D03">
        <w:trPr>
          <w:trHeight w:val="286"/>
        </w:trPr>
        <w:tc>
          <w:tcPr>
            <w:tcW w:w="4786"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tabs>
                <w:tab w:val="left" w:pos="426"/>
              </w:tabs>
              <w:spacing w:after="0" w:line="240" w:lineRule="auto"/>
              <w:ind w:left="142"/>
              <w:rPr>
                <w:rFonts w:ascii="Times New Roman" w:eastAsia="Calibri" w:hAnsi="Times New Roman" w:cs="Times New Roman"/>
                <w:color w:val="000000"/>
                <w:sz w:val="26"/>
                <w:szCs w:val="26"/>
              </w:rPr>
            </w:pPr>
            <w:r w:rsidRPr="00852814">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lang w:val="en-US"/>
              </w:rPr>
            </w:pPr>
            <w:r w:rsidRPr="00852814">
              <w:rPr>
                <w:rFonts w:ascii="Times New Roman" w:eastAsia="Calibri" w:hAnsi="Times New Roman" w:cs="Times New Roman"/>
                <w:sz w:val="26"/>
                <w:szCs w:val="26"/>
                <w:lang w:val="en-US"/>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right="231"/>
              <w:jc w:val="right"/>
              <w:rPr>
                <w:rFonts w:ascii="Times New Roman" w:eastAsia="Calibri" w:hAnsi="Times New Roman" w:cs="Times New Roman"/>
                <w:sz w:val="26"/>
                <w:szCs w:val="26"/>
              </w:rPr>
            </w:pPr>
            <w:r w:rsidRPr="00852814">
              <w:rPr>
                <w:rFonts w:ascii="Times New Roman" w:eastAsia="Calibri" w:hAnsi="Times New Roman" w:cs="Times New Roman"/>
                <w:sz w:val="26"/>
                <w:szCs w:val="26"/>
              </w:rPr>
              <w:t>2,9</w:t>
            </w:r>
          </w:p>
        </w:tc>
      </w:tr>
    </w:tbl>
    <w:p w:rsidR="00852814" w:rsidRPr="00852814" w:rsidRDefault="00852814" w:rsidP="00852814">
      <w:pPr>
        <w:suppressAutoHyphens/>
        <w:spacing w:before="240" w:after="24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Анализ завершенных расследований несчастных случаев на производстве свидетельствует, что большинство подобных происшествий обусловлено неисполнением работодателями и (или) самими работающими требований охраны труда, причем это характерно для организаций всех форм собственности (</w:t>
      </w:r>
      <w:r w:rsidR="00190E0D">
        <w:rPr>
          <w:rFonts w:ascii="Times New Roman" w:eastAsia="Calibri" w:hAnsi="Times New Roman" w:cs="Times New Roman"/>
          <w:sz w:val="30"/>
          <w:szCs w:val="30"/>
        </w:rPr>
        <w:t>рисунок 4</w:t>
      </w:r>
      <w:r w:rsidRPr="00852814">
        <w:rPr>
          <w:rFonts w:ascii="Times New Roman" w:eastAsia="Calibri" w:hAnsi="Times New Roman" w:cs="Times New Roman"/>
          <w:sz w:val="30"/>
          <w:szCs w:val="30"/>
        </w:rPr>
        <w:t>).</w:t>
      </w:r>
    </w:p>
    <w:p w:rsidR="00852814" w:rsidRPr="00852814" w:rsidRDefault="00190E0D" w:rsidP="00190E0D">
      <w:pPr>
        <w:suppressAutoHyphens/>
        <w:spacing w:before="240" w:after="240" w:line="240" w:lineRule="auto"/>
        <w:jc w:val="both"/>
        <w:rPr>
          <w:rFonts w:ascii="Times New Roman" w:eastAsia="Calibri" w:hAnsi="Times New Roman" w:cs="Times New Roman"/>
          <w:sz w:val="30"/>
          <w:szCs w:val="30"/>
        </w:rPr>
      </w:pPr>
      <w:r w:rsidRPr="00190E0D">
        <w:rPr>
          <w:rFonts w:ascii="Times New Roman" w:eastAsia="Calibri" w:hAnsi="Times New Roman" w:cs="Times New Roman"/>
          <w:noProof/>
          <w:sz w:val="30"/>
          <w:szCs w:val="30"/>
          <w:lang w:val="en-US"/>
        </w:rPr>
        <w:lastRenderedPageBreak/>
        <w:drawing>
          <wp:inline distT="0" distB="0" distL="0" distR="0" wp14:anchorId="7CB4E7CF" wp14:editId="432DD7FA">
            <wp:extent cx="6119812" cy="20859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0E0D" w:rsidRPr="00A324A6" w:rsidRDefault="00A324A6" w:rsidP="00A324A6">
      <w:pPr>
        <w:spacing w:before="240" w:after="0" w:line="240" w:lineRule="auto"/>
        <w:jc w:val="both"/>
        <w:rPr>
          <w:rFonts w:ascii="Times New Roman" w:eastAsia="Calibri" w:hAnsi="Times New Roman" w:cs="Times New Roman"/>
          <w:i/>
          <w:sz w:val="28"/>
          <w:szCs w:val="28"/>
        </w:rPr>
      </w:pPr>
      <w:r w:rsidRPr="00A324A6">
        <w:rPr>
          <w:rFonts w:ascii="Times New Roman" w:eastAsia="Calibri" w:hAnsi="Times New Roman" w:cs="Times New Roman"/>
          <w:i/>
          <w:sz w:val="30"/>
          <w:szCs w:val="30"/>
        </w:rPr>
        <w:t xml:space="preserve">Рис.4 </w:t>
      </w:r>
      <w:r w:rsidRPr="00A324A6">
        <w:rPr>
          <w:rFonts w:ascii="Times New Roman" w:eastAsia="Calibri" w:hAnsi="Times New Roman" w:cs="Times New Roman"/>
          <w:i/>
          <w:sz w:val="28"/>
          <w:szCs w:val="28"/>
        </w:rPr>
        <w:t>Распределение ответственности</w:t>
      </w:r>
      <w:r>
        <w:rPr>
          <w:rFonts w:ascii="Times New Roman" w:eastAsia="Calibri" w:hAnsi="Times New Roman" w:cs="Times New Roman"/>
          <w:i/>
          <w:sz w:val="28"/>
          <w:szCs w:val="28"/>
        </w:rPr>
        <w:t xml:space="preserve"> по случаям со смертельным исходом</w:t>
      </w:r>
      <w:r w:rsidRPr="00A324A6">
        <w:rPr>
          <w:rFonts w:ascii="Times New Roman" w:eastAsia="Calibri" w:hAnsi="Times New Roman" w:cs="Times New Roman"/>
          <w:i/>
          <w:sz w:val="28"/>
          <w:szCs w:val="28"/>
        </w:rPr>
        <w:t>,</w:t>
      </w:r>
      <w:r>
        <w:rPr>
          <w:rFonts w:ascii="Times New Roman" w:eastAsia="Calibri" w:hAnsi="Times New Roman" w:cs="Times New Roman"/>
          <w:i/>
          <w:sz w:val="28"/>
          <w:szCs w:val="28"/>
        </w:rPr>
        <w:t>%</w:t>
      </w:r>
      <w:r w:rsidRPr="00A324A6">
        <w:rPr>
          <w:rFonts w:ascii="Times New Roman" w:eastAsia="Calibri" w:hAnsi="Times New Roman" w:cs="Times New Roman"/>
          <w:i/>
          <w:sz w:val="28"/>
          <w:szCs w:val="28"/>
        </w:rPr>
        <w:t xml:space="preserve"> </w:t>
      </w:r>
    </w:p>
    <w:p w:rsidR="00852814" w:rsidRDefault="00852814" w:rsidP="00190E0D">
      <w:pPr>
        <w:spacing w:after="0" w:line="240" w:lineRule="auto"/>
        <w:ind w:firstLine="720"/>
        <w:jc w:val="both"/>
        <w:rPr>
          <w:rFonts w:ascii="Times New Roman" w:eastAsia="Calibri" w:hAnsi="Times New Roman" w:cs="Times New Roman"/>
          <w:sz w:val="30"/>
          <w:szCs w:val="30"/>
        </w:rPr>
      </w:pPr>
      <w:r w:rsidRPr="00852814">
        <w:rPr>
          <w:rFonts w:ascii="Times New Roman" w:eastAsia="Calibri" w:hAnsi="Times New Roman" w:cs="Times New Roman"/>
          <w:sz w:val="30"/>
          <w:szCs w:val="30"/>
        </w:rPr>
        <w:t>Детализация причин производственного травматизма свидетельствует о том, что в 2020 году по сравнению с 2019 годом они по своему хара</w:t>
      </w:r>
      <w:r w:rsidR="003810EC">
        <w:rPr>
          <w:rFonts w:ascii="Times New Roman" w:eastAsia="Calibri" w:hAnsi="Times New Roman" w:cs="Times New Roman"/>
          <w:sz w:val="30"/>
          <w:szCs w:val="30"/>
        </w:rPr>
        <w:t>ктеру существенно не изменились</w:t>
      </w:r>
      <w:r w:rsidRPr="00852814">
        <w:rPr>
          <w:rFonts w:ascii="Times New Roman" w:eastAsia="Calibri" w:hAnsi="Times New Roman" w:cs="Times New Roman"/>
          <w:sz w:val="30"/>
          <w:szCs w:val="30"/>
        </w:rPr>
        <w:t>. Преобладающими по-прежнему остаются нарушения требований нормативных правовых актов, технических нормативных правовых актов, локальных правовых актов по охране труда и невыполнение руководителями и специалистами обязанностей по охране труда.</w:t>
      </w:r>
    </w:p>
    <w:p w:rsidR="00190E0D" w:rsidRDefault="00190E0D" w:rsidP="00365F66">
      <w:pPr>
        <w:spacing w:after="0" w:line="240" w:lineRule="auto"/>
        <w:ind w:firstLine="720"/>
        <w:jc w:val="both"/>
        <w:rPr>
          <w:rFonts w:ascii="Times New Roman" w:eastAsia="Calibri" w:hAnsi="Times New Roman" w:cs="Times New Roman"/>
          <w:sz w:val="30"/>
          <w:szCs w:val="30"/>
        </w:rPr>
      </w:pPr>
      <w:r w:rsidRPr="00190E0D">
        <w:rPr>
          <w:rFonts w:ascii="Times New Roman" w:eastAsia="Calibri" w:hAnsi="Times New Roman" w:cs="Times New Roman"/>
          <w:sz w:val="30"/>
          <w:szCs w:val="30"/>
        </w:rPr>
        <w:t>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 По данным Департамента в 2020 году среди погибших на производстве в состоянии алкогольного опьянения находилось 26 человек (18,7 процента от общего числа погибших на производстве), в 2019 году – 23 человека (16,3 процента).</w:t>
      </w:r>
    </w:p>
    <w:p w:rsidR="003810EC" w:rsidRDefault="003810EC" w:rsidP="00365F66">
      <w:pPr>
        <w:spacing w:after="0" w:line="240" w:lineRule="auto"/>
        <w:ind w:firstLine="720"/>
        <w:jc w:val="center"/>
        <w:rPr>
          <w:rFonts w:ascii="Times New Roman" w:eastAsia="Calibri" w:hAnsi="Times New Roman" w:cs="Times New Roman"/>
          <w:sz w:val="30"/>
          <w:szCs w:val="30"/>
        </w:rPr>
      </w:pPr>
    </w:p>
    <w:p w:rsidR="00852814" w:rsidRPr="00852814" w:rsidRDefault="00782DBD" w:rsidP="00365F66">
      <w:pPr>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852814" w:rsidRPr="00852814">
        <w:rPr>
          <w:rFonts w:ascii="Times New Roman" w:eastAsia="Calibri" w:hAnsi="Times New Roman" w:cs="Times New Roman"/>
          <w:sz w:val="30"/>
          <w:szCs w:val="30"/>
        </w:rPr>
        <w:t>ричины производственного травматизма</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5"/>
        <w:gridCol w:w="1060"/>
        <w:gridCol w:w="1148"/>
        <w:gridCol w:w="1042"/>
        <w:gridCol w:w="1015"/>
      </w:tblGrid>
      <w:tr w:rsidR="00852814" w:rsidRPr="00852814" w:rsidTr="00852814">
        <w:tc>
          <w:tcPr>
            <w:tcW w:w="5695" w:type="dxa"/>
            <w:vMerge w:val="restart"/>
            <w:tcBorders>
              <w:top w:val="single" w:sz="4" w:space="0" w:color="auto"/>
              <w:left w:val="single" w:sz="4" w:space="0" w:color="auto"/>
              <w:bottom w:val="single" w:sz="4" w:space="0" w:color="auto"/>
              <w:right w:val="single" w:sz="4" w:space="0" w:color="auto"/>
            </w:tcBorders>
          </w:tcPr>
          <w:p w:rsidR="00852814" w:rsidRPr="00852814" w:rsidRDefault="00852814" w:rsidP="00852814">
            <w:pPr>
              <w:spacing w:after="0" w:line="240" w:lineRule="auto"/>
              <w:jc w:val="center"/>
              <w:rPr>
                <w:rFonts w:ascii="Times New Roman" w:eastAsia="Calibri" w:hAnsi="Times New Roman" w:cs="Times New Roman"/>
                <w:sz w:val="26"/>
                <w:szCs w:val="26"/>
              </w:rPr>
            </w:pPr>
          </w:p>
        </w:tc>
        <w:tc>
          <w:tcPr>
            <w:tcW w:w="2208" w:type="dxa"/>
            <w:gridSpan w:val="2"/>
            <w:tcBorders>
              <w:top w:val="single" w:sz="4" w:space="0" w:color="auto"/>
              <w:left w:val="single" w:sz="4" w:space="0" w:color="auto"/>
              <w:bottom w:val="single" w:sz="4" w:space="0" w:color="auto"/>
              <w:right w:val="single" w:sz="4" w:space="0" w:color="auto"/>
            </w:tcBorders>
            <w:hideMark/>
          </w:tcPr>
          <w:p w:rsidR="00852814" w:rsidRPr="006C1954" w:rsidRDefault="00852814" w:rsidP="00852814">
            <w:pPr>
              <w:spacing w:after="0" w:line="240" w:lineRule="exact"/>
              <w:jc w:val="center"/>
              <w:rPr>
                <w:rFonts w:ascii="Times New Roman" w:eastAsia="Calibri" w:hAnsi="Times New Roman" w:cs="Times New Roman"/>
                <w:sz w:val="24"/>
                <w:szCs w:val="24"/>
              </w:rPr>
            </w:pPr>
            <w:r w:rsidRPr="006C1954">
              <w:rPr>
                <w:rFonts w:ascii="Times New Roman" w:eastAsia="Calibri" w:hAnsi="Times New Roman" w:cs="Times New Roman"/>
                <w:sz w:val="24"/>
                <w:szCs w:val="24"/>
              </w:rPr>
              <w:t>Удельный вес от общего количества причин травмирования,%</w:t>
            </w:r>
          </w:p>
        </w:tc>
        <w:tc>
          <w:tcPr>
            <w:tcW w:w="2057" w:type="dxa"/>
            <w:gridSpan w:val="2"/>
            <w:tcBorders>
              <w:top w:val="single" w:sz="4" w:space="0" w:color="auto"/>
              <w:left w:val="single" w:sz="4" w:space="0" w:color="auto"/>
              <w:bottom w:val="single" w:sz="4" w:space="0" w:color="auto"/>
              <w:right w:val="single" w:sz="4" w:space="0" w:color="auto"/>
            </w:tcBorders>
            <w:hideMark/>
          </w:tcPr>
          <w:p w:rsidR="00852814" w:rsidRPr="006C1954" w:rsidRDefault="00852814" w:rsidP="00852814">
            <w:pPr>
              <w:spacing w:after="0" w:line="240" w:lineRule="exact"/>
              <w:jc w:val="center"/>
              <w:rPr>
                <w:rFonts w:ascii="Times New Roman" w:eastAsia="Calibri" w:hAnsi="Times New Roman" w:cs="Times New Roman"/>
                <w:sz w:val="24"/>
                <w:szCs w:val="24"/>
              </w:rPr>
            </w:pPr>
            <w:r w:rsidRPr="006C1954">
              <w:rPr>
                <w:rFonts w:ascii="Times New Roman" w:eastAsia="Calibri" w:hAnsi="Times New Roman" w:cs="Times New Roman"/>
                <w:sz w:val="24"/>
                <w:szCs w:val="24"/>
              </w:rPr>
              <w:t>Удельный вес от общего количества причин гибели,%</w:t>
            </w:r>
          </w:p>
        </w:tc>
      </w:tr>
      <w:tr w:rsidR="00852814" w:rsidRPr="00852814" w:rsidTr="00852814">
        <w:tc>
          <w:tcPr>
            <w:tcW w:w="5695" w:type="dxa"/>
            <w:vMerge/>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sz w:val="26"/>
                <w:szCs w:val="26"/>
              </w:rPr>
            </w:pPr>
          </w:p>
        </w:tc>
        <w:tc>
          <w:tcPr>
            <w:tcW w:w="1060"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w:t>
            </w:r>
            <w:r w:rsidRPr="00852814">
              <w:rPr>
                <w:rFonts w:ascii="Times New Roman" w:eastAsia="Calibri" w:hAnsi="Times New Roman" w:cs="Times New Roman"/>
                <w:sz w:val="26"/>
                <w:szCs w:val="26"/>
                <w:lang w:val="en-US"/>
              </w:rPr>
              <w:t>9</w:t>
            </w:r>
            <w:r w:rsidRPr="00852814">
              <w:rPr>
                <w:rFonts w:ascii="Times New Roman" w:eastAsia="Calibri" w:hAnsi="Times New Roman" w:cs="Times New Roman"/>
                <w:sz w:val="26"/>
                <w:szCs w:val="26"/>
              </w:rPr>
              <w:t xml:space="preserve"> г.</w:t>
            </w:r>
          </w:p>
        </w:tc>
        <w:tc>
          <w:tcPr>
            <w:tcW w:w="1148"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w:t>
            </w:r>
            <w:r w:rsidRPr="00852814">
              <w:rPr>
                <w:rFonts w:ascii="Times New Roman" w:eastAsia="Calibri" w:hAnsi="Times New Roman" w:cs="Times New Roman"/>
                <w:sz w:val="26"/>
                <w:szCs w:val="26"/>
                <w:lang w:val="en-US"/>
              </w:rPr>
              <w:t>20</w:t>
            </w:r>
            <w:r w:rsidRPr="00852814">
              <w:rPr>
                <w:rFonts w:ascii="Times New Roman" w:eastAsia="Calibri" w:hAnsi="Times New Roman" w:cs="Times New Roman"/>
                <w:sz w:val="26"/>
                <w:szCs w:val="26"/>
              </w:rPr>
              <w:t xml:space="preserve"> г.</w:t>
            </w:r>
          </w:p>
        </w:tc>
        <w:tc>
          <w:tcPr>
            <w:tcW w:w="1042"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201</w:t>
            </w:r>
            <w:r w:rsidRPr="00852814">
              <w:rPr>
                <w:rFonts w:ascii="Times New Roman" w:eastAsia="Calibri" w:hAnsi="Times New Roman" w:cs="Times New Roman"/>
                <w:sz w:val="26"/>
                <w:szCs w:val="26"/>
                <w:lang w:val="en-US"/>
              </w:rPr>
              <w:t>9</w:t>
            </w:r>
            <w:r w:rsidRPr="00852814">
              <w:rPr>
                <w:rFonts w:ascii="Times New Roman" w:eastAsia="Calibri" w:hAnsi="Times New Roman" w:cs="Times New Roman"/>
                <w:sz w:val="26"/>
                <w:szCs w:val="26"/>
              </w:rPr>
              <w:t xml:space="preserve"> г.</w:t>
            </w:r>
          </w:p>
        </w:tc>
        <w:tc>
          <w:tcPr>
            <w:tcW w:w="1015" w:type="dxa"/>
            <w:tcBorders>
              <w:top w:val="single" w:sz="4" w:space="0" w:color="auto"/>
              <w:left w:val="single" w:sz="4" w:space="0" w:color="auto"/>
              <w:bottom w:val="single" w:sz="4" w:space="0" w:color="auto"/>
              <w:right w:val="single" w:sz="4" w:space="0" w:color="auto"/>
            </w:tcBorders>
            <w:hideMark/>
          </w:tcPr>
          <w:p w:rsidR="00852814" w:rsidRPr="00852814" w:rsidRDefault="00852814" w:rsidP="00852814">
            <w:pPr>
              <w:spacing w:after="0" w:line="240" w:lineRule="auto"/>
              <w:jc w:val="center"/>
              <w:rPr>
                <w:rFonts w:ascii="Times New Roman" w:eastAsia="Calibri" w:hAnsi="Times New Roman" w:cs="Times New Roman"/>
                <w:sz w:val="26"/>
                <w:szCs w:val="26"/>
              </w:rPr>
            </w:pPr>
            <w:r w:rsidRPr="00852814">
              <w:rPr>
                <w:rFonts w:ascii="Times New Roman" w:eastAsia="Calibri" w:hAnsi="Times New Roman" w:cs="Times New Roman"/>
                <w:sz w:val="26"/>
                <w:szCs w:val="26"/>
              </w:rPr>
              <w:t>20</w:t>
            </w:r>
            <w:r w:rsidRPr="00852814">
              <w:rPr>
                <w:rFonts w:ascii="Times New Roman" w:eastAsia="Calibri" w:hAnsi="Times New Roman" w:cs="Times New Roman"/>
                <w:sz w:val="26"/>
                <w:szCs w:val="26"/>
                <w:lang w:val="en-US"/>
              </w:rPr>
              <w:t>20</w:t>
            </w:r>
            <w:r w:rsidRPr="00852814">
              <w:rPr>
                <w:rFonts w:ascii="Times New Roman" w:eastAsia="Calibri" w:hAnsi="Times New Roman" w:cs="Times New Roman"/>
                <w:sz w:val="26"/>
                <w:szCs w:val="26"/>
              </w:rPr>
              <w:t xml:space="preserve"> г.</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24,9</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25,4</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15,5</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17,5</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11,0</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11,3</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16,1</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12,3</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4,4</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5,2</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7,1</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4,5</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3,9</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6,6</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3,8</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3,5</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5,2</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5,7</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lastRenderedPageBreak/>
              <w:t>Нарушение требований безопасности при эксплуатации транспортных средств, машин, механизмов, оборудования, оснастки, инструмента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2,9</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3,3</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2,1</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2,8</w:t>
            </w:r>
          </w:p>
        </w:tc>
        <w:tc>
          <w:tcPr>
            <w:tcW w:w="1148"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2,8</w:t>
            </w:r>
          </w:p>
        </w:tc>
        <w:tc>
          <w:tcPr>
            <w:tcW w:w="1042"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015" w:type="dxa"/>
            <w:tcBorders>
              <w:top w:val="single" w:sz="4" w:space="0" w:color="auto"/>
              <w:left w:val="single" w:sz="4" w:space="0" w:color="auto"/>
              <w:bottom w:val="single" w:sz="4" w:space="0" w:color="auto"/>
              <w:right w:val="single" w:sz="4" w:space="0" w:color="auto"/>
            </w:tcBorders>
            <w:vAlign w:val="center"/>
            <w:hideMark/>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5,7</w:t>
            </w:r>
          </w:p>
        </w:tc>
      </w:tr>
      <w:tr w:rsidR="00852814" w:rsidRPr="00852814" w:rsidTr="00852814">
        <w:tc>
          <w:tcPr>
            <w:tcW w:w="569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60" w:lineRule="exac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60"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2,0</w:t>
            </w:r>
          </w:p>
        </w:tc>
        <w:tc>
          <w:tcPr>
            <w:tcW w:w="1148"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76"/>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1,8</w:t>
            </w:r>
          </w:p>
        </w:tc>
        <w:tc>
          <w:tcPr>
            <w:tcW w:w="1042"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4,7</w:t>
            </w:r>
          </w:p>
        </w:tc>
        <w:tc>
          <w:tcPr>
            <w:tcW w:w="1015" w:type="dxa"/>
            <w:tcBorders>
              <w:top w:val="single" w:sz="4" w:space="0" w:color="auto"/>
              <w:left w:val="single" w:sz="4" w:space="0" w:color="auto"/>
              <w:bottom w:val="single" w:sz="4" w:space="0" w:color="auto"/>
              <w:right w:val="single" w:sz="4" w:space="0" w:color="auto"/>
            </w:tcBorders>
            <w:vAlign w:val="center"/>
          </w:tcPr>
          <w:p w:rsidR="00852814" w:rsidRPr="00852814" w:rsidRDefault="00852814" w:rsidP="00852814">
            <w:pPr>
              <w:spacing w:after="0" w:line="240" w:lineRule="auto"/>
              <w:ind w:left="-310" w:right="158"/>
              <w:jc w:val="right"/>
              <w:rPr>
                <w:rFonts w:ascii="Times New Roman" w:eastAsia="Calibri" w:hAnsi="Times New Roman" w:cs="Times New Roman"/>
                <w:bCs/>
                <w:sz w:val="26"/>
                <w:szCs w:val="26"/>
              </w:rPr>
            </w:pPr>
            <w:r w:rsidRPr="00852814">
              <w:rPr>
                <w:rFonts w:ascii="Times New Roman" w:eastAsia="Calibri" w:hAnsi="Times New Roman" w:cs="Times New Roman"/>
                <w:bCs/>
                <w:sz w:val="26"/>
                <w:szCs w:val="26"/>
              </w:rPr>
              <w:t>6,2</w:t>
            </w:r>
          </w:p>
        </w:tc>
      </w:tr>
    </w:tbl>
    <w:p w:rsidR="006C1954" w:rsidRDefault="006C1954" w:rsidP="006C1954">
      <w:pPr>
        <w:spacing w:before="240" w:after="0" w:line="240" w:lineRule="auto"/>
        <w:ind w:firstLine="720"/>
        <w:jc w:val="both"/>
        <w:rPr>
          <w:rFonts w:ascii="Times New Roman" w:eastAsia="Calibri" w:hAnsi="Times New Roman" w:cs="Times New Roman"/>
          <w:sz w:val="30"/>
          <w:szCs w:val="30"/>
        </w:rPr>
      </w:pPr>
    </w:p>
    <w:p w:rsidR="006C1954" w:rsidRDefault="00852814" w:rsidP="00365F66">
      <w:pPr>
        <w:spacing w:after="0" w:line="240" w:lineRule="auto"/>
        <w:ind w:firstLine="709"/>
        <w:jc w:val="both"/>
        <w:textAlignment w:val="top"/>
        <w:rPr>
          <w:rFonts w:ascii="Times New Roman" w:hAnsi="Times New Roman" w:cs="Times New Roman"/>
          <w:sz w:val="30"/>
          <w:szCs w:val="30"/>
        </w:rPr>
      </w:pPr>
      <w:r w:rsidRPr="00852814">
        <w:rPr>
          <w:rFonts w:ascii="Times New Roman" w:eastAsia="Calibri" w:hAnsi="Times New Roman" w:cs="Times New Roman"/>
          <w:sz w:val="30"/>
          <w:szCs w:val="30"/>
        </w:rPr>
        <w:t>Таким образом, для дальнейшего снижения уровня производственного травматизма первоочередными задачами являются  укрепление трудовой и производственной дисциплины в организациях, а также обеспечение эффективного контроля за ее соблюдением.</w:t>
      </w:r>
      <w:r w:rsidR="006C1954" w:rsidRPr="006C1954">
        <w:rPr>
          <w:rFonts w:ascii="Times New Roman" w:hAnsi="Times New Roman" w:cs="Times New Roman"/>
          <w:sz w:val="30"/>
          <w:szCs w:val="30"/>
        </w:rPr>
        <w:t xml:space="preserve"> </w:t>
      </w:r>
    </w:p>
    <w:p w:rsidR="00852814" w:rsidRDefault="006C1954" w:rsidP="00365F66">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w:t>
      </w:r>
    </w:p>
    <w:p w:rsidR="006C1954" w:rsidRPr="006C1954" w:rsidRDefault="006C4DCE" w:rsidP="006C195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6C1954" w:rsidRPr="006C1954">
        <w:rPr>
          <w:rFonts w:ascii="Times New Roman" w:eastAsia="Calibri" w:hAnsi="Times New Roman" w:cs="Times New Roman"/>
          <w:sz w:val="30"/>
          <w:szCs w:val="30"/>
        </w:rPr>
        <w:t xml:space="preserve"> последние годы</w:t>
      </w:r>
      <w:r>
        <w:rPr>
          <w:rFonts w:ascii="Times New Roman" w:eastAsia="Calibri" w:hAnsi="Times New Roman" w:cs="Times New Roman"/>
          <w:sz w:val="30"/>
          <w:szCs w:val="30"/>
        </w:rPr>
        <w:t xml:space="preserve"> организации</w:t>
      </w:r>
      <w:r w:rsidR="006C1954" w:rsidRPr="006C1954">
        <w:rPr>
          <w:rFonts w:ascii="Times New Roman" w:eastAsia="Calibri" w:hAnsi="Times New Roman" w:cs="Times New Roman"/>
          <w:sz w:val="30"/>
          <w:szCs w:val="30"/>
        </w:rPr>
        <w:t xml:space="preserve">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6C1954" w:rsidRDefault="006C1954" w:rsidP="006C1954">
      <w:pPr>
        <w:spacing w:after="0" w:line="240" w:lineRule="auto"/>
        <w:ind w:firstLine="709"/>
        <w:jc w:val="both"/>
        <w:rPr>
          <w:rFonts w:ascii="Times New Roman" w:eastAsia="Calibri" w:hAnsi="Times New Roman" w:cs="Times New Roman"/>
          <w:sz w:val="30"/>
          <w:szCs w:val="30"/>
        </w:rPr>
      </w:pPr>
      <w:r w:rsidRPr="006C1954">
        <w:rPr>
          <w:rFonts w:ascii="Times New Roman" w:eastAsia="Calibri"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w:t>
      </w:r>
      <w:r w:rsidR="00492580">
        <w:rPr>
          <w:rFonts w:ascii="Times New Roman" w:eastAsia="Calibri" w:hAnsi="Times New Roman" w:cs="Times New Roman"/>
          <w:sz w:val="30"/>
          <w:szCs w:val="30"/>
        </w:rPr>
        <w:t>осит</w:t>
      </w:r>
      <w:r w:rsidRPr="006C1954">
        <w:rPr>
          <w:rFonts w:ascii="Times New Roman" w:eastAsia="Calibri" w:hAnsi="Times New Roman" w:cs="Times New Roman"/>
          <w:sz w:val="30"/>
          <w:szCs w:val="30"/>
        </w:rPr>
        <w:t xml:space="preserve"> применение </w:t>
      </w:r>
      <w:r w:rsidR="006C4DCE">
        <w:rPr>
          <w:rFonts w:ascii="Times New Roman" w:eastAsia="Calibri" w:hAnsi="Times New Roman" w:cs="Times New Roman"/>
          <w:sz w:val="30"/>
          <w:szCs w:val="30"/>
        </w:rPr>
        <w:t>в организациях</w:t>
      </w:r>
      <w:r w:rsidRPr="006C1954">
        <w:rPr>
          <w:rFonts w:ascii="Times New Roman" w:eastAsia="Calibri" w:hAnsi="Times New Roman" w:cs="Times New Roman"/>
          <w:sz w:val="30"/>
          <w:szCs w:val="30"/>
        </w:rPr>
        <w:t xml:space="preserve"> нашей страны принципов </w:t>
      </w:r>
      <w:r w:rsidR="009D0213">
        <w:rPr>
          <w:rFonts w:ascii="Times New Roman" w:eastAsia="Calibri" w:hAnsi="Times New Roman" w:cs="Times New Roman"/>
          <w:sz w:val="30"/>
          <w:szCs w:val="30"/>
        </w:rPr>
        <w:t>К</w:t>
      </w:r>
      <w:r w:rsidRPr="006C1954">
        <w:rPr>
          <w:rFonts w:ascii="Times New Roman" w:eastAsia="Calibri" w:hAnsi="Times New Roman" w:cs="Times New Roman"/>
          <w:sz w:val="30"/>
          <w:szCs w:val="30"/>
        </w:rPr>
        <w:t>онцепции «Нулевого травматизма», разработанной Международной ассоциацией социального обеспечения (МАСО).</w:t>
      </w: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365F66">
      <w:pPr>
        <w:spacing w:after="0" w:line="240" w:lineRule="auto"/>
        <w:jc w:val="both"/>
        <w:rPr>
          <w:rFonts w:ascii="Times New Roman" w:eastAsia="Calibri" w:hAnsi="Times New Roman" w:cs="Times New Roman"/>
          <w:sz w:val="30"/>
          <w:szCs w:val="30"/>
        </w:rPr>
      </w:pPr>
      <w:r>
        <w:rPr>
          <w:noProof/>
          <w:lang w:val="en-US"/>
        </w:rPr>
        <w:lastRenderedPageBreak/>
        <w:drawing>
          <wp:inline distT="0" distB="0" distL="0" distR="0" wp14:anchorId="129024F5" wp14:editId="3EE68AD8">
            <wp:extent cx="6120765" cy="3522345"/>
            <wp:effectExtent l="0" t="0" r="0" b="971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Default="00365F66" w:rsidP="006C1954">
      <w:pPr>
        <w:spacing w:after="0" w:line="240" w:lineRule="auto"/>
        <w:ind w:firstLine="709"/>
        <w:jc w:val="both"/>
        <w:rPr>
          <w:rFonts w:ascii="Times New Roman" w:eastAsia="Calibri" w:hAnsi="Times New Roman" w:cs="Times New Roman"/>
          <w:sz w:val="30"/>
          <w:szCs w:val="30"/>
        </w:rPr>
      </w:pPr>
    </w:p>
    <w:p w:rsidR="00365F66" w:rsidRPr="00365F66" w:rsidRDefault="00365F66" w:rsidP="006C1954">
      <w:pPr>
        <w:spacing w:after="0" w:line="240" w:lineRule="auto"/>
        <w:ind w:firstLine="709"/>
        <w:jc w:val="both"/>
        <w:rPr>
          <w:rFonts w:ascii="Times New Roman" w:eastAsia="Calibri" w:hAnsi="Times New Roman" w:cs="Times New Roman"/>
          <w:i/>
          <w:sz w:val="30"/>
          <w:szCs w:val="30"/>
        </w:rPr>
      </w:pPr>
      <w:r w:rsidRPr="00365F66">
        <w:rPr>
          <w:rFonts w:ascii="Times New Roman" w:eastAsia="Calibri" w:hAnsi="Times New Roman" w:cs="Times New Roman"/>
          <w:i/>
          <w:sz w:val="30"/>
          <w:szCs w:val="30"/>
        </w:rPr>
        <w:t xml:space="preserve">Рис.5 Семь золотых правил </w:t>
      </w:r>
      <w:r w:rsidR="009D0213" w:rsidRPr="009D0213">
        <w:rPr>
          <w:rFonts w:ascii="Times New Roman" w:eastAsia="Calibri" w:hAnsi="Times New Roman" w:cs="Times New Roman"/>
          <w:i/>
          <w:sz w:val="30"/>
          <w:szCs w:val="30"/>
        </w:rPr>
        <w:t xml:space="preserve">Концепции </w:t>
      </w:r>
      <w:r w:rsidR="009D0213">
        <w:rPr>
          <w:rFonts w:ascii="Times New Roman" w:eastAsia="Calibri" w:hAnsi="Times New Roman" w:cs="Times New Roman"/>
          <w:i/>
          <w:sz w:val="30"/>
          <w:szCs w:val="30"/>
        </w:rPr>
        <w:t>«Нулевого травматизма»</w:t>
      </w:r>
      <w:r w:rsidR="009D0213" w:rsidRPr="009D0213">
        <w:rPr>
          <w:rFonts w:ascii="Times New Roman" w:eastAsia="Calibri" w:hAnsi="Times New Roman" w:cs="Times New Roman"/>
          <w:i/>
          <w:sz w:val="30"/>
          <w:szCs w:val="30"/>
        </w:rPr>
        <w:t xml:space="preserve"> (Vision Zero)</w:t>
      </w:r>
    </w:p>
    <w:p w:rsidR="00365F66" w:rsidRPr="009D0213"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t xml:space="preserve">На сегодняшний день создана развитая законодательная база в области охраны труда, которая </w:t>
      </w:r>
      <w:r w:rsidR="009D0213">
        <w:rPr>
          <w:rFonts w:ascii="Times New Roman" w:eastAsia="Calibri" w:hAnsi="Times New Roman" w:cs="Times New Roman"/>
          <w:sz w:val="30"/>
          <w:szCs w:val="30"/>
        </w:rPr>
        <w:t>позволяет организациям в полном объеме реализовать с</w:t>
      </w:r>
      <w:r w:rsidR="009D0213" w:rsidRPr="009D0213">
        <w:rPr>
          <w:rFonts w:ascii="Times New Roman" w:eastAsia="Calibri" w:hAnsi="Times New Roman" w:cs="Times New Roman"/>
          <w:sz w:val="30"/>
          <w:szCs w:val="30"/>
        </w:rPr>
        <w:t xml:space="preserve">емь золотых правил Концепции </w:t>
      </w:r>
      <w:r w:rsidR="009D0213">
        <w:rPr>
          <w:rFonts w:ascii="Times New Roman" w:eastAsia="Calibri" w:hAnsi="Times New Roman" w:cs="Times New Roman"/>
          <w:sz w:val="30"/>
          <w:szCs w:val="30"/>
        </w:rPr>
        <w:t>«Нулевого травматизма»</w:t>
      </w:r>
      <w:r w:rsidR="009D0213" w:rsidRPr="009D0213">
        <w:rPr>
          <w:rFonts w:ascii="Times New Roman" w:eastAsia="Calibri" w:hAnsi="Times New Roman" w:cs="Times New Roman"/>
          <w:sz w:val="30"/>
          <w:szCs w:val="30"/>
        </w:rPr>
        <w:t xml:space="preserve"> (Vision Zero)</w:t>
      </w:r>
      <w:r w:rsidRPr="009D0213">
        <w:rPr>
          <w:rFonts w:ascii="Times New Roman" w:eastAsia="Calibri" w:hAnsi="Times New Roman" w:cs="Times New Roman"/>
          <w:sz w:val="30"/>
          <w:szCs w:val="30"/>
        </w:rPr>
        <w:t xml:space="preserve">. </w:t>
      </w:r>
    </w:p>
    <w:p w:rsidR="00365F66"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t>Меры по обеспечению безопасного труда являются неотъемлемой частью общей системы управления организацией.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rsidR="00365F66" w:rsidRDefault="00365F66" w:rsidP="00365F6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Законодательство не содержит жестких требований к разрабатываемым системам управления охраной труда. Они должны </w:t>
      </w:r>
      <w:r w:rsidRPr="00365F66">
        <w:rPr>
          <w:rFonts w:ascii="Times New Roman" w:eastAsia="Calibri" w:hAnsi="Times New Roman" w:cs="Times New Roman"/>
          <w:sz w:val="30"/>
          <w:szCs w:val="30"/>
        </w:rPr>
        <w:t>обеспечива</w:t>
      </w:r>
      <w:r>
        <w:rPr>
          <w:rFonts w:ascii="Times New Roman" w:eastAsia="Calibri" w:hAnsi="Times New Roman" w:cs="Times New Roman"/>
          <w:sz w:val="30"/>
          <w:szCs w:val="30"/>
        </w:rPr>
        <w:t>ть</w:t>
      </w:r>
      <w:r w:rsidRPr="00365F66">
        <w:rPr>
          <w:rFonts w:ascii="Times New Roman" w:eastAsia="Calibri" w:hAnsi="Times New Roman" w:cs="Times New Roman"/>
          <w:sz w:val="30"/>
          <w:szCs w:val="30"/>
        </w:rPr>
        <w:t xml:space="preserve"> идентификацию опасностей, оценку профессиональных рисков, определение мер управления профессиональными риска</w:t>
      </w:r>
      <w:r>
        <w:rPr>
          <w:rFonts w:ascii="Times New Roman" w:eastAsia="Calibri" w:hAnsi="Times New Roman" w:cs="Times New Roman"/>
          <w:sz w:val="30"/>
          <w:szCs w:val="30"/>
        </w:rPr>
        <w:t>ми и анализ их результативности</w:t>
      </w:r>
      <w:r w:rsidR="009D0213">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9D0213">
        <w:rPr>
          <w:rFonts w:ascii="Times New Roman" w:eastAsia="Calibri" w:hAnsi="Times New Roman" w:cs="Times New Roman"/>
          <w:sz w:val="30"/>
          <w:szCs w:val="30"/>
        </w:rPr>
        <w:t>до</w:t>
      </w:r>
      <w:r>
        <w:rPr>
          <w:rFonts w:ascii="Times New Roman" w:eastAsia="Calibri" w:hAnsi="Times New Roman" w:cs="Times New Roman"/>
          <w:sz w:val="30"/>
          <w:szCs w:val="30"/>
        </w:rPr>
        <w:t xml:space="preserve">лжны быть понятны и </w:t>
      </w:r>
      <w:r w:rsidR="009D0213">
        <w:rPr>
          <w:rFonts w:ascii="Times New Roman" w:eastAsia="Calibri" w:hAnsi="Times New Roman" w:cs="Times New Roman"/>
          <w:sz w:val="30"/>
          <w:szCs w:val="30"/>
        </w:rPr>
        <w:t>доступны всем работникам организации.</w:t>
      </w:r>
      <w:r w:rsidRPr="00365F66">
        <w:rPr>
          <w:rFonts w:ascii="Times New Roman" w:eastAsia="Calibri" w:hAnsi="Times New Roman" w:cs="Times New Roman"/>
          <w:sz w:val="30"/>
          <w:szCs w:val="30"/>
        </w:rPr>
        <w:t xml:space="preserve"> </w:t>
      </w:r>
      <w:r w:rsidR="006C4DCE">
        <w:rPr>
          <w:rFonts w:ascii="Times New Roman" w:eastAsia="Calibri" w:hAnsi="Times New Roman" w:cs="Times New Roman"/>
          <w:sz w:val="30"/>
          <w:szCs w:val="30"/>
        </w:rPr>
        <w:t>При разработке СУОТ</w:t>
      </w:r>
      <w:r w:rsidR="009D0213" w:rsidRPr="00365F66">
        <w:rPr>
          <w:rFonts w:ascii="Times New Roman" w:eastAsia="Calibri" w:hAnsi="Times New Roman" w:cs="Times New Roman"/>
          <w:sz w:val="30"/>
          <w:szCs w:val="30"/>
        </w:rPr>
        <w:t xml:space="preserve">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p>
    <w:p w:rsidR="009D0213" w:rsidRP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 xml:space="preserve">Министерством труда и социальной защиты в целях оказания методической помощи нанимателям в разработке СУОТ подготовлены и приказом Министерства труда и социальной защиты Республики Беларусь от 30 декабря 2019 г. </w:t>
      </w:r>
      <w:r>
        <w:rPr>
          <w:rFonts w:ascii="Times New Roman" w:eastAsia="Calibri" w:hAnsi="Times New Roman" w:cs="Times New Roman"/>
          <w:sz w:val="30"/>
          <w:szCs w:val="30"/>
        </w:rPr>
        <w:t>№</w:t>
      </w:r>
      <w:r w:rsidRPr="009D0213">
        <w:rPr>
          <w:rFonts w:ascii="Times New Roman" w:eastAsia="Calibri" w:hAnsi="Times New Roman" w:cs="Times New Roman"/>
          <w:sz w:val="30"/>
          <w:szCs w:val="30"/>
        </w:rPr>
        <w:t xml:space="preserve"> 108 утверждены Рекомендации по разработке системы управления охраной труда в организации.</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lastRenderedPageBreak/>
        <w:t>В Рекомендациях отражены основные направления работы по охране труда</w:t>
      </w:r>
      <w:r>
        <w:rPr>
          <w:rFonts w:ascii="Times New Roman" w:eastAsia="Calibri" w:hAnsi="Times New Roman" w:cs="Times New Roman"/>
          <w:sz w:val="30"/>
          <w:szCs w:val="30"/>
        </w:rPr>
        <w:t>, такие как:</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разработк</w:t>
      </w:r>
      <w:r>
        <w:rPr>
          <w:rFonts w:ascii="Times New Roman" w:eastAsia="Calibri" w:hAnsi="Times New Roman" w:cs="Times New Roman"/>
          <w:sz w:val="30"/>
          <w:szCs w:val="30"/>
        </w:rPr>
        <w:t>а</w:t>
      </w:r>
      <w:r w:rsidRPr="009D0213">
        <w:rPr>
          <w:rFonts w:ascii="Times New Roman" w:eastAsia="Calibri" w:hAnsi="Times New Roman" w:cs="Times New Roman"/>
          <w:sz w:val="30"/>
          <w:szCs w:val="30"/>
        </w:rPr>
        <w:t xml:space="preserve"> мероприятий по предупреждению профессиональных рисков; </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определени</w:t>
      </w:r>
      <w:r>
        <w:rPr>
          <w:rFonts w:ascii="Times New Roman" w:eastAsia="Calibri" w:hAnsi="Times New Roman" w:cs="Times New Roman"/>
          <w:sz w:val="30"/>
          <w:szCs w:val="30"/>
        </w:rPr>
        <w:t>е</w:t>
      </w:r>
      <w:r w:rsidRPr="009D0213">
        <w:rPr>
          <w:rFonts w:ascii="Times New Roman" w:eastAsia="Calibri" w:hAnsi="Times New Roman" w:cs="Times New Roman"/>
          <w:sz w:val="30"/>
          <w:szCs w:val="30"/>
        </w:rPr>
        <w:t xml:space="preserve"> полномочий должностных лиц по вопросам охраны труда; </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контрол</w:t>
      </w:r>
      <w:r>
        <w:rPr>
          <w:rFonts w:ascii="Times New Roman" w:eastAsia="Calibri" w:hAnsi="Times New Roman" w:cs="Times New Roman"/>
          <w:sz w:val="30"/>
          <w:szCs w:val="30"/>
        </w:rPr>
        <w:t>ь</w:t>
      </w:r>
      <w:r w:rsidRPr="009D0213">
        <w:rPr>
          <w:rFonts w:ascii="Times New Roman" w:eastAsia="Calibri" w:hAnsi="Times New Roman" w:cs="Times New Roman"/>
          <w:sz w:val="30"/>
          <w:szCs w:val="30"/>
        </w:rPr>
        <w:t xml:space="preserve"> за исполнением мер по профилактике производственного травматизма и</w:t>
      </w:r>
      <w:r>
        <w:rPr>
          <w:rFonts w:ascii="Times New Roman" w:eastAsia="Calibri" w:hAnsi="Times New Roman" w:cs="Times New Roman"/>
          <w:sz w:val="30"/>
          <w:szCs w:val="30"/>
        </w:rPr>
        <w:t xml:space="preserve"> анализ</w:t>
      </w:r>
      <w:r w:rsidRPr="009D0213">
        <w:rPr>
          <w:rFonts w:ascii="Times New Roman" w:eastAsia="Calibri" w:hAnsi="Times New Roman" w:cs="Times New Roman"/>
          <w:sz w:val="30"/>
          <w:szCs w:val="30"/>
        </w:rPr>
        <w:t xml:space="preserve"> их эффективности</w:t>
      </w:r>
      <w:r>
        <w:rPr>
          <w:rFonts w:ascii="Times New Roman" w:eastAsia="Calibri" w:hAnsi="Times New Roman" w:cs="Times New Roman"/>
          <w:sz w:val="30"/>
          <w:szCs w:val="30"/>
        </w:rPr>
        <w:t>;</w:t>
      </w:r>
    </w:p>
    <w:p w:rsidR="009D0213" w:rsidRPr="009D0213" w:rsidRDefault="009D0213" w:rsidP="009D0213">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повышение</w:t>
      </w:r>
      <w:r w:rsidRPr="009D0213">
        <w:rPr>
          <w:rFonts w:ascii="Times New Roman" w:eastAsia="Calibri" w:hAnsi="Times New Roman" w:cs="Times New Roman"/>
          <w:sz w:val="30"/>
          <w:szCs w:val="30"/>
        </w:rPr>
        <w:t xml:space="preserve"> личной ответственности работников за соблюдением требований по охране труда путем введения персонифицированного учета допускаемых работниками нарушений требований по охране труда.</w:t>
      </w:r>
    </w:p>
    <w:p w:rsidR="009D0213" w:rsidRDefault="009D0213" w:rsidP="009D0213">
      <w:pPr>
        <w:spacing w:after="0" w:line="240" w:lineRule="auto"/>
        <w:ind w:firstLine="709"/>
        <w:jc w:val="both"/>
        <w:rPr>
          <w:rFonts w:ascii="Times New Roman" w:eastAsia="Calibri" w:hAnsi="Times New Roman" w:cs="Times New Roman"/>
          <w:sz w:val="30"/>
          <w:szCs w:val="30"/>
        </w:rPr>
      </w:pPr>
      <w:r w:rsidRPr="009D0213">
        <w:rPr>
          <w:rFonts w:ascii="Times New Roman" w:eastAsia="Calibri" w:hAnsi="Times New Roman" w:cs="Times New Roman"/>
          <w:sz w:val="30"/>
          <w:szCs w:val="30"/>
        </w:rPr>
        <w:t xml:space="preserve">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w:t>
      </w:r>
      <w:r>
        <w:rPr>
          <w:rFonts w:ascii="Times New Roman" w:eastAsia="Calibri" w:hAnsi="Times New Roman" w:cs="Times New Roman"/>
          <w:sz w:val="30"/>
          <w:szCs w:val="30"/>
        </w:rPr>
        <w:t>«Н</w:t>
      </w:r>
      <w:r w:rsidRPr="009D0213">
        <w:rPr>
          <w:rFonts w:ascii="Times New Roman" w:eastAsia="Calibri" w:hAnsi="Times New Roman" w:cs="Times New Roman"/>
          <w:sz w:val="30"/>
          <w:szCs w:val="30"/>
        </w:rPr>
        <w:t>улевого травматизма</w:t>
      </w:r>
      <w:r>
        <w:rPr>
          <w:rFonts w:ascii="Times New Roman" w:eastAsia="Calibri" w:hAnsi="Times New Roman" w:cs="Times New Roman"/>
          <w:sz w:val="30"/>
          <w:szCs w:val="30"/>
        </w:rPr>
        <w:t>»</w:t>
      </w:r>
      <w:r w:rsidRPr="009D0213">
        <w:rPr>
          <w:rFonts w:ascii="Times New Roman" w:eastAsia="Calibri" w:hAnsi="Times New Roman" w:cs="Times New Roman"/>
          <w:sz w:val="30"/>
          <w:szCs w:val="30"/>
        </w:rPr>
        <w:t xml:space="preserve"> (Vision Zero)</w:t>
      </w:r>
      <w:r>
        <w:rPr>
          <w:rFonts w:ascii="Times New Roman" w:eastAsia="Calibri" w:hAnsi="Times New Roman" w:cs="Times New Roman"/>
          <w:sz w:val="30"/>
          <w:szCs w:val="30"/>
        </w:rPr>
        <w:t>.</w:t>
      </w:r>
    </w:p>
    <w:p w:rsidR="00894005" w:rsidRPr="00894005" w:rsidRDefault="00894005" w:rsidP="00894005">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этого при разработке системы управления охраной труда организация может руководствоваться техническими нормативными актами </w:t>
      </w:r>
      <w:r w:rsidRPr="00894005">
        <w:rPr>
          <w:rFonts w:ascii="Times New Roman" w:eastAsia="Calibri" w:hAnsi="Times New Roman" w:cs="Times New Roman"/>
          <w:sz w:val="30"/>
          <w:szCs w:val="30"/>
        </w:rPr>
        <w:t xml:space="preserve">СТБ ISO 45001-2020 </w:t>
      </w:r>
      <w:r>
        <w:rPr>
          <w:rFonts w:ascii="Times New Roman" w:eastAsia="Calibri" w:hAnsi="Times New Roman" w:cs="Times New Roman"/>
          <w:sz w:val="30"/>
          <w:szCs w:val="30"/>
        </w:rPr>
        <w:t>«</w:t>
      </w:r>
      <w:r w:rsidRPr="00894005">
        <w:rPr>
          <w:rFonts w:ascii="Times New Roman" w:eastAsia="Calibri" w:hAnsi="Times New Roman" w:cs="Times New Roman"/>
          <w:sz w:val="30"/>
          <w:szCs w:val="30"/>
        </w:rPr>
        <w:t>Системы менеджмента здоровья и безопасности при профессиональной деятельности. Требования и руководство по применению</w:t>
      </w:r>
      <w:r>
        <w:rPr>
          <w:rFonts w:ascii="Times New Roman" w:eastAsia="Calibri" w:hAnsi="Times New Roman" w:cs="Times New Roman"/>
          <w:sz w:val="30"/>
          <w:szCs w:val="30"/>
        </w:rPr>
        <w:t xml:space="preserve">» и </w:t>
      </w:r>
      <w:r w:rsidRPr="00894005">
        <w:rPr>
          <w:rFonts w:ascii="Times New Roman" w:eastAsia="Calibri" w:hAnsi="Times New Roman" w:cs="Times New Roman"/>
          <w:sz w:val="30"/>
          <w:szCs w:val="30"/>
        </w:rPr>
        <w:t xml:space="preserve">ГОСТ 12.0.230-2007 </w:t>
      </w:r>
      <w:r w:rsidR="009D0E2D">
        <w:rPr>
          <w:rFonts w:ascii="Times New Roman" w:eastAsia="Calibri" w:hAnsi="Times New Roman" w:cs="Times New Roman"/>
          <w:sz w:val="30"/>
          <w:szCs w:val="30"/>
        </w:rPr>
        <w:t>«</w:t>
      </w:r>
      <w:r w:rsidRPr="00894005">
        <w:rPr>
          <w:rFonts w:ascii="Times New Roman" w:eastAsia="Calibri" w:hAnsi="Times New Roman" w:cs="Times New Roman"/>
          <w:sz w:val="30"/>
          <w:szCs w:val="30"/>
        </w:rPr>
        <w:t>Система стандартов безопасности труда. Системы управления охраной труда. Общие требования</w:t>
      </w:r>
      <w:r w:rsidR="009D0E2D">
        <w:rPr>
          <w:rFonts w:ascii="Times New Roman" w:eastAsia="Calibri" w:hAnsi="Times New Roman" w:cs="Times New Roman"/>
          <w:sz w:val="30"/>
          <w:szCs w:val="30"/>
        </w:rPr>
        <w:t>»</w:t>
      </w:r>
      <w:r w:rsidRPr="00894005">
        <w:rPr>
          <w:rFonts w:ascii="Times New Roman" w:eastAsia="Calibri" w:hAnsi="Times New Roman" w:cs="Times New Roman"/>
          <w:sz w:val="30"/>
          <w:szCs w:val="30"/>
        </w:rPr>
        <w:t>.</w:t>
      </w:r>
    </w:p>
    <w:p w:rsidR="00365F66" w:rsidRPr="00365F66" w:rsidRDefault="00CA3FA1" w:rsidP="00365F6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365F66" w:rsidRPr="00365F66">
        <w:rPr>
          <w:rFonts w:ascii="Times New Roman" w:eastAsia="Calibri" w:hAnsi="Times New Roman" w:cs="Times New Roman"/>
          <w:sz w:val="30"/>
          <w:szCs w:val="30"/>
        </w:rPr>
        <w:t xml:space="preserve">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65F66" w:rsidRPr="00365F66" w:rsidRDefault="00365F66" w:rsidP="00365F66">
      <w:pPr>
        <w:spacing w:after="0" w:line="240" w:lineRule="auto"/>
        <w:ind w:firstLine="709"/>
        <w:jc w:val="both"/>
        <w:rPr>
          <w:rFonts w:ascii="Times New Roman" w:eastAsia="Calibri" w:hAnsi="Times New Roman" w:cs="Times New Roman"/>
          <w:sz w:val="30"/>
          <w:szCs w:val="30"/>
        </w:rPr>
      </w:pPr>
      <w:r w:rsidRPr="00365F66">
        <w:rPr>
          <w:rFonts w:ascii="Times New Roman" w:eastAsia="Calibri"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365F66" w:rsidRPr="006C1954" w:rsidRDefault="00365F66" w:rsidP="006C1954">
      <w:pPr>
        <w:spacing w:after="0" w:line="240" w:lineRule="auto"/>
        <w:ind w:firstLine="709"/>
        <w:jc w:val="both"/>
        <w:rPr>
          <w:rFonts w:ascii="Times New Roman" w:eastAsia="Calibri" w:hAnsi="Times New Roman" w:cs="Times New Roman"/>
          <w:sz w:val="30"/>
          <w:szCs w:val="30"/>
        </w:rPr>
      </w:pPr>
    </w:p>
    <w:p w:rsidR="006C1954" w:rsidRPr="00852814" w:rsidRDefault="006C1954" w:rsidP="00852814">
      <w:pPr>
        <w:spacing w:before="240" w:after="0" w:line="240" w:lineRule="auto"/>
        <w:ind w:firstLine="708"/>
        <w:jc w:val="both"/>
        <w:rPr>
          <w:rFonts w:ascii="Times New Roman" w:eastAsia="Calibri" w:hAnsi="Times New Roman" w:cs="Times New Roman"/>
          <w:sz w:val="30"/>
          <w:szCs w:val="30"/>
        </w:rPr>
      </w:pPr>
    </w:p>
    <w:p w:rsidR="00852814" w:rsidRPr="00852814" w:rsidRDefault="00852814" w:rsidP="002E5F5F">
      <w:pPr>
        <w:spacing w:after="0" w:line="240" w:lineRule="auto"/>
        <w:jc w:val="both"/>
        <w:rPr>
          <w:rFonts w:ascii="Times New Roman" w:hAnsi="Times New Roman" w:cs="Times New Roman"/>
          <w:sz w:val="30"/>
          <w:szCs w:val="30"/>
        </w:rPr>
      </w:pPr>
    </w:p>
    <w:sectPr w:rsidR="00852814" w:rsidRPr="00852814" w:rsidSect="00985676">
      <w:headerReference w:type="default" r:id="rId1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44" w:rsidRDefault="00F62044" w:rsidP="00F026FB">
      <w:pPr>
        <w:spacing w:after="0" w:line="240" w:lineRule="auto"/>
      </w:pPr>
      <w:r>
        <w:separator/>
      </w:r>
    </w:p>
  </w:endnote>
  <w:endnote w:type="continuationSeparator" w:id="0">
    <w:p w:rsidR="00F62044" w:rsidRDefault="00F62044" w:rsidP="00F0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44" w:rsidRDefault="00F62044" w:rsidP="00F026FB">
      <w:pPr>
        <w:spacing w:after="0" w:line="240" w:lineRule="auto"/>
      </w:pPr>
      <w:r>
        <w:separator/>
      </w:r>
    </w:p>
  </w:footnote>
  <w:footnote w:type="continuationSeparator" w:id="0">
    <w:p w:rsidR="00F62044" w:rsidRDefault="00F62044" w:rsidP="00F02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81128"/>
      <w:docPartObj>
        <w:docPartGallery w:val="Page Numbers (Top of Page)"/>
        <w:docPartUnique/>
      </w:docPartObj>
    </w:sdtPr>
    <w:sdtEndPr/>
    <w:sdtContent>
      <w:p w:rsidR="009D25AA" w:rsidRDefault="009D25AA">
        <w:pPr>
          <w:pStyle w:val="af0"/>
        </w:pPr>
        <w:r>
          <w:fldChar w:fldCharType="begin"/>
        </w:r>
        <w:r>
          <w:instrText>PAGE   \* MERGEFORMAT</w:instrText>
        </w:r>
        <w:r>
          <w:fldChar w:fldCharType="separate"/>
        </w:r>
        <w:r w:rsidR="004C3A17">
          <w:rPr>
            <w:noProof/>
          </w:rPr>
          <w:t>1</w:t>
        </w:r>
        <w:r>
          <w:fldChar w:fldCharType="end"/>
        </w:r>
      </w:p>
    </w:sdtContent>
  </w:sdt>
  <w:p w:rsidR="009D25AA" w:rsidRDefault="009D25AA">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76"/>
    <w:rsid w:val="00092431"/>
    <w:rsid w:val="000E1E8A"/>
    <w:rsid w:val="0012277B"/>
    <w:rsid w:val="0013438D"/>
    <w:rsid w:val="00190E0D"/>
    <w:rsid w:val="001A2A86"/>
    <w:rsid w:val="001B1000"/>
    <w:rsid w:val="001B6D74"/>
    <w:rsid w:val="002A17C7"/>
    <w:rsid w:val="002E5F5F"/>
    <w:rsid w:val="00307E3D"/>
    <w:rsid w:val="0032440A"/>
    <w:rsid w:val="00365F66"/>
    <w:rsid w:val="003810EC"/>
    <w:rsid w:val="003E3C25"/>
    <w:rsid w:val="00492580"/>
    <w:rsid w:val="004C3A17"/>
    <w:rsid w:val="00531471"/>
    <w:rsid w:val="00535F86"/>
    <w:rsid w:val="00581DB0"/>
    <w:rsid w:val="005A41FF"/>
    <w:rsid w:val="005B4650"/>
    <w:rsid w:val="005C2E13"/>
    <w:rsid w:val="006266A8"/>
    <w:rsid w:val="00694A47"/>
    <w:rsid w:val="006A6CB4"/>
    <w:rsid w:val="006B318C"/>
    <w:rsid w:val="006B48BC"/>
    <w:rsid w:val="006C1954"/>
    <w:rsid w:val="006C4C2C"/>
    <w:rsid w:val="006C4DCE"/>
    <w:rsid w:val="006E3625"/>
    <w:rsid w:val="006E5518"/>
    <w:rsid w:val="00706EDF"/>
    <w:rsid w:val="00782DBD"/>
    <w:rsid w:val="007B0D03"/>
    <w:rsid w:val="007F3984"/>
    <w:rsid w:val="00820F54"/>
    <w:rsid w:val="00852814"/>
    <w:rsid w:val="00894005"/>
    <w:rsid w:val="008A3EE4"/>
    <w:rsid w:val="008D38C2"/>
    <w:rsid w:val="0098527C"/>
    <w:rsid w:val="00985676"/>
    <w:rsid w:val="009C271F"/>
    <w:rsid w:val="009D0213"/>
    <w:rsid w:val="009D0E2D"/>
    <w:rsid w:val="009D25AA"/>
    <w:rsid w:val="009D5DFD"/>
    <w:rsid w:val="00A00642"/>
    <w:rsid w:val="00A324A6"/>
    <w:rsid w:val="00A57DC0"/>
    <w:rsid w:val="00AE454A"/>
    <w:rsid w:val="00BC3B39"/>
    <w:rsid w:val="00C0130B"/>
    <w:rsid w:val="00C07ACE"/>
    <w:rsid w:val="00CA3FA1"/>
    <w:rsid w:val="00CB38B2"/>
    <w:rsid w:val="00D63566"/>
    <w:rsid w:val="00E14642"/>
    <w:rsid w:val="00EC3E3F"/>
    <w:rsid w:val="00F026FB"/>
    <w:rsid w:val="00F25534"/>
    <w:rsid w:val="00F479A4"/>
    <w:rsid w:val="00F6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C65F0-C8AA-48B1-8477-4E19B6E0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814"/>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814"/>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852814"/>
  </w:style>
  <w:style w:type="paragraph" w:customStyle="1" w:styleId="articleintext">
    <w:name w:val="articleintex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852814"/>
    <w:rPr>
      <w:rFonts w:ascii="Times New Roman" w:hAnsi="Times New Roman" w:cs="Times New Roman" w:hint="default"/>
      <w:b/>
      <w:bCs/>
    </w:rPr>
  </w:style>
  <w:style w:type="paragraph" w:styleId="a3">
    <w:name w:val="Balloon Text"/>
    <w:basedOn w:val="a"/>
    <w:link w:val="a4"/>
    <w:uiPriority w:val="99"/>
    <w:semiHidden/>
    <w:unhideWhenUsed/>
    <w:rsid w:val="00852814"/>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852814"/>
    <w:rPr>
      <w:rFonts w:ascii="Tahoma" w:eastAsia="Calibri" w:hAnsi="Tahoma" w:cs="Times New Roman"/>
      <w:sz w:val="16"/>
      <w:szCs w:val="16"/>
      <w:lang w:val="x-none" w:eastAsia="x-none"/>
    </w:rPr>
  </w:style>
  <w:style w:type="character" w:styleId="a5">
    <w:name w:val="Hyperlink"/>
    <w:uiPriority w:val="99"/>
    <w:unhideWhenUsed/>
    <w:rsid w:val="00852814"/>
    <w:rPr>
      <w:color w:val="0000FF"/>
      <w:u w:val="single"/>
    </w:rPr>
  </w:style>
  <w:style w:type="paragraph" w:styleId="a6">
    <w:name w:val="List Paragraph"/>
    <w:basedOn w:val="a"/>
    <w:uiPriority w:val="34"/>
    <w:qFormat/>
    <w:rsid w:val="00852814"/>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852814"/>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852814"/>
    <w:rPr>
      <w:rFonts w:ascii="Times New Roman" w:eastAsia="Times New Roman" w:hAnsi="Times New Roman" w:cs="Times New Roman"/>
      <w:sz w:val="20"/>
      <w:szCs w:val="20"/>
      <w:lang w:val="x-none" w:eastAsia="ru-RU"/>
    </w:rPr>
  </w:style>
  <w:style w:type="paragraph" w:customStyle="1" w:styleId="21">
    <w:name w:val="Основной текст (2)"/>
    <w:basedOn w:val="a"/>
    <w:uiPriority w:val="99"/>
    <w:rsid w:val="00852814"/>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852814"/>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852814"/>
    <w:rPr>
      <w:rFonts w:ascii="Calibri" w:eastAsia="Calibri" w:hAnsi="Calibri" w:cs="Times New Roman"/>
    </w:rPr>
  </w:style>
  <w:style w:type="paragraph" w:customStyle="1" w:styleId="210">
    <w:name w:val="Основной текст 21"/>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852814"/>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852814"/>
    <w:rPr>
      <w:rFonts w:ascii="Calibri" w:eastAsia="Calibri" w:hAnsi="Calibri" w:cs="Times New Roman"/>
    </w:rPr>
  </w:style>
  <w:style w:type="table" w:styleId="ab">
    <w:name w:val="Table Grid"/>
    <w:basedOn w:val="a1"/>
    <w:uiPriority w:val="59"/>
    <w:rsid w:val="008528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52814"/>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852814"/>
    <w:rPr>
      <w:rFonts w:ascii="Times New Roman" w:eastAsia="Times New Roman" w:hAnsi="Times New Roman" w:cs="Times New Roman"/>
      <w:sz w:val="16"/>
      <w:szCs w:val="16"/>
      <w:lang w:val="x-none" w:eastAsia="ru-RU"/>
    </w:rPr>
  </w:style>
  <w:style w:type="character" w:styleId="ac">
    <w:name w:val="Strong"/>
    <w:uiPriority w:val="22"/>
    <w:qFormat/>
    <w:rsid w:val="00852814"/>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852814"/>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852814"/>
    <w:rPr>
      <w:rFonts w:ascii="Calibri" w:eastAsia="Calibri" w:hAnsi="Calibri" w:cs="Times New Roman"/>
      <w:sz w:val="20"/>
      <w:szCs w:val="20"/>
      <w:lang w:val="x-none" w:eastAsia="x-none"/>
    </w:rPr>
  </w:style>
  <w:style w:type="character" w:styleId="af">
    <w:name w:val="footnote reference"/>
    <w:uiPriority w:val="99"/>
    <w:unhideWhenUsed/>
    <w:rsid w:val="00852814"/>
    <w:rPr>
      <w:vertAlign w:val="superscript"/>
    </w:rPr>
  </w:style>
  <w:style w:type="paragraph" w:customStyle="1" w:styleId="ConsPlusNonformat">
    <w:name w:val="ConsPlusNonformat"/>
    <w:uiPriority w:val="99"/>
    <w:rsid w:val="008528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852814"/>
    <w:rPr>
      <w:rFonts w:ascii="Calibri" w:eastAsia="Calibri" w:hAnsi="Calibri" w:cs="Times New Roman"/>
    </w:rPr>
  </w:style>
  <w:style w:type="paragraph" w:styleId="af2">
    <w:name w:val="footer"/>
    <w:basedOn w:val="a"/>
    <w:link w:val="af3"/>
    <w:uiPriority w:val="99"/>
    <w:unhideWhenUsed/>
    <w:rsid w:val="00852814"/>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852814"/>
    <w:rPr>
      <w:rFonts w:ascii="Calibri" w:eastAsia="Calibri" w:hAnsi="Calibri" w:cs="Times New Roman"/>
    </w:rPr>
  </w:style>
  <w:style w:type="paragraph" w:customStyle="1" w:styleId="underpoint">
    <w:name w:val="underpoint"/>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852814"/>
  </w:style>
  <w:style w:type="paragraph" w:customStyle="1" w:styleId="22">
    <w:name w:val="Основной текст 22"/>
    <w:basedOn w:val="a"/>
    <w:uiPriority w:val="99"/>
    <w:rsid w:val="00852814"/>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uiPriority w:val="99"/>
    <w:rsid w:val="00852814"/>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852814"/>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852814"/>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852814"/>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852814"/>
    <w:rPr>
      <w:rFonts w:ascii="Times New Roman" w:hAnsi="Times New Roman" w:cs="Times New Roman" w:hint="default"/>
      <w:caps/>
    </w:rPr>
  </w:style>
  <w:style w:type="character" w:customStyle="1" w:styleId="promulgator">
    <w:name w:val="promulgator"/>
    <w:rsid w:val="00852814"/>
    <w:rPr>
      <w:rFonts w:ascii="Times New Roman" w:hAnsi="Times New Roman" w:cs="Times New Roman" w:hint="default"/>
      <w:caps/>
    </w:rPr>
  </w:style>
  <w:style w:type="character" w:customStyle="1" w:styleId="datepr">
    <w:name w:val="datepr"/>
    <w:rsid w:val="00852814"/>
    <w:rPr>
      <w:rFonts w:ascii="Times New Roman" w:hAnsi="Times New Roman" w:cs="Times New Roman" w:hint="default"/>
    </w:rPr>
  </w:style>
  <w:style w:type="character" w:customStyle="1" w:styleId="number">
    <w:name w:val="number"/>
    <w:rsid w:val="00852814"/>
    <w:rPr>
      <w:rFonts w:ascii="Times New Roman" w:hAnsi="Times New Roman" w:cs="Times New Roman" w:hint="default"/>
    </w:rPr>
  </w:style>
  <w:style w:type="paragraph" w:customStyle="1" w:styleId="preamble">
    <w:name w:val="preamble"/>
    <w:basedOn w:val="a"/>
    <w:uiPriority w:val="99"/>
    <w:rsid w:val="0085281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85281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528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852814"/>
    <w:rPr>
      <w:rFonts w:ascii="Times New Roman" w:hAnsi="Times New Roman"/>
      <w:sz w:val="28"/>
    </w:rPr>
  </w:style>
  <w:style w:type="paragraph" w:customStyle="1" w:styleId="titleu">
    <w:name w:val="titleu"/>
    <w:basedOn w:val="a"/>
    <w:uiPriority w:val="99"/>
    <w:rsid w:val="00852814"/>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852814"/>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852814"/>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852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852814"/>
    <w:rPr>
      <w:color w:val="800080"/>
      <w:u w:val="single"/>
    </w:rPr>
  </w:style>
  <w:style w:type="character" w:customStyle="1" w:styleId="4">
    <w:name w:val="Основной текст (4)_"/>
    <w:link w:val="40"/>
    <w:rsid w:val="00852814"/>
    <w:rPr>
      <w:sz w:val="15"/>
      <w:szCs w:val="15"/>
      <w:shd w:val="clear" w:color="auto" w:fill="FFFFFF"/>
    </w:rPr>
  </w:style>
  <w:style w:type="paragraph" w:customStyle="1" w:styleId="40">
    <w:name w:val="Основной текст (4)"/>
    <w:basedOn w:val="a"/>
    <w:link w:val="4"/>
    <w:rsid w:val="00852814"/>
    <w:pPr>
      <w:shd w:val="clear" w:color="auto" w:fill="FFFFFF"/>
      <w:spacing w:before="8280" w:after="0" w:line="0" w:lineRule="atLeast"/>
    </w:pPr>
    <w:rPr>
      <w:sz w:val="15"/>
      <w:szCs w:val="15"/>
    </w:rPr>
  </w:style>
  <w:style w:type="paragraph" w:customStyle="1" w:styleId="ConsPlusCell">
    <w:name w:val="ConsPlusCell"/>
    <w:uiPriority w:val="99"/>
    <w:rsid w:val="008528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852814"/>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85281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852814"/>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852814"/>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462962962962962E-2"/>
          <c:y val="5.6737577130816869E-2"/>
          <c:w val="0.72313648293963251"/>
          <c:h val="0.8002139976405388"/>
        </c:manualLayout>
      </c:layout>
      <c:lineChart>
        <c:grouping val="standard"/>
        <c:varyColors val="0"/>
        <c:ser>
          <c:idx val="0"/>
          <c:order val="0"/>
          <c:tx>
            <c:strRef>
              <c:f>Лист1!$B$1</c:f>
              <c:strCache>
                <c:ptCount val="1"/>
                <c:pt idx="0">
                  <c:v>травмировано</c:v>
                </c:pt>
              </c:strCache>
            </c:strRef>
          </c:tx>
          <c:dLbls>
            <c:dLbl>
              <c:idx val="0"/>
              <c:tx>
                <c:rich>
                  <a:bodyPr/>
                  <a:lstStyle/>
                  <a:p>
                    <a:r>
                      <a:rPr lang="en-US"/>
                      <a:t>2115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D4-43F1-897B-CF52E3A0AA7B}"/>
                </c:ext>
              </c:extLst>
            </c:dLbl>
            <c:dLbl>
              <c:idx val="1"/>
              <c:tx>
                <c:rich>
                  <a:bodyPr/>
                  <a:lstStyle/>
                  <a:p>
                    <a:r>
                      <a:rPr lang="en-US"/>
                      <a:t>2042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D4-43F1-897B-CF52E3A0AA7B}"/>
                </c:ext>
              </c:extLst>
            </c:dLbl>
            <c:dLbl>
              <c:idx val="2"/>
              <c:tx>
                <c:rich>
                  <a:bodyPr/>
                  <a:lstStyle/>
                  <a:p>
                    <a:r>
                      <a:rPr lang="en-US"/>
                      <a:t>1889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D4-43F1-897B-CF52E3A0AA7B}"/>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211.5</c:v>
                </c:pt>
                <c:pt idx="1">
                  <c:v>204.2</c:v>
                </c:pt>
                <c:pt idx="2">
                  <c:v>188.9</c:v>
                </c:pt>
              </c:numCache>
            </c:numRef>
          </c:val>
          <c:smooth val="0"/>
          <c:extLst>
            <c:ext xmlns:c16="http://schemas.microsoft.com/office/drawing/2014/chart" uri="{C3380CC4-5D6E-409C-BE32-E72D297353CC}">
              <c16:uniqueId val="{00000003-ECD4-43F1-897B-CF52E3A0AA7B}"/>
            </c:ext>
          </c:extLst>
        </c:ser>
        <c:ser>
          <c:idx val="1"/>
          <c:order val="1"/>
          <c:tx>
            <c:strRef>
              <c:f>Лист1!$C$1</c:f>
              <c:strCache>
                <c:ptCount val="1"/>
                <c:pt idx="0">
                  <c:v>погибло</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145</c:v>
                </c:pt>
                <c:pt idx="1">
                  <c:v>143</c:v>
                </c:pt>
                <c:pt idx="2">
                  <c:v>141</c:v>
                </c:pt>
              </c:numCache>
            </c:numRef>
          </c:val>
          <c:smooth val="0"/>
          <c:extLst>
            <c:ext xmlns:c16="http://schemas.microsoft.com/office/drawing/2014/chart" uri="{C3380CC4-5D6E-409C-BE32-E72D297353CC}">
              <c16:uniqueId val="{00000004-ECD4-43F1-897B-CF52E3A0AA7B}"/>
            </c:ext>
          </c:extLst>
        </c:ser>
        <c:dLbls>
          <c:showLegendKey val="0"/>
          <c:showVal val="0"/>
          <c:showCatName val="0"/>
          <c:showSerName val="0"/>
          <c:showPercent val="0"/>
          <c:showBubbleSize val="0"/>
        </c:dLbls>
        <c:marker val="1"/>
        <c:smooth val="0"/>
        <c:axId val="200158208"/>
        <c:axId val="222138304"/>
      </c:lineChart>
      <c:catAx>
        <c:axId val="200158208"/>
        <c:scaling>
          <c:orientation val="minMax"/>
        </c:scaling>
        <c:delete val="0"/>
        <c:axPos val="b"/>
        <c:numFmt formatCode="General" sourceLinked="1"/>
        <c:majorTickMark val="out"/>
        <c:minorTickMark val="none"/>
        <c:tickLblPos val="nextTo"/>
        <c:crossAx val="222138304"/>
        <c:crosses val="autoZero"/>
        <c:auto val="1"/>
        <c:lblAlgn val="ctr"/>
        <c:lblOffset val="100"/>
        <c:noMultiLvlLbl val="0"/>
      </c:catAx>
      <c:valAx>
        <c:axId val="222138304"/>
        <c:scaling>
          <c:orientation val="minMax"/>
        </c:scaling>
        <c:delete val="1"/>
        <c:axPos val="l"/>
        <c:majorGridlines>
          <c:spPr>
            <a:ln>
              <a:noFill/>
            </a:ln>
          </c:spPr>
        </c:majorGridlines>
        <c:numFmt formatCode="General" sourceLinked="1"/>
        <c:majorTickMark val="out"/>
        <c:minorTickMark val="none"/>
        <c:tickLblPos val="nextTo"/>
        <c:crossAx val="2001582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400"/>
            </a:pPr>
            <a:r>
              <a:rPr lang="ru-RU" sz="1400"/>
              <a:t>Коэффициент частоты производственного травматизма</a:t>
            </a:r>
          </a:p>
        </c:rich>
      </c:tx>
      <c:layout>
        <c:manualLayout>
          <c:xMode val="edge"/>
          <c:yMode val="edge"/>
          <c:x val="0.19577537182852142"/>
          <c:y val="3.9318479685452164E-2"/>
        </c:manualLayout>
      </c:layout>
      <c:overlay val="0"/>
    </c:title>
    <c:autoTitleDeleted val="0"/>
    <c:plotArea>
      <c:layout>
        <c:manualLayout>
          <c:layoutTarget val="inner"/>
          <c:xMode val="edge"/>
          <c:yMode val="edge"/>
          <c:x val="2.5462962962962962E-2"/>
          <c:y val="0.34849279161205765"/>
          <c:w val="0.94907407407407407"/>
          <c:h val="0.48078863995211607"/>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Могилевская</c:v>
                </c:pt>
                <c:pt idx="1">
                  <c:v>Минская</c:v>
                </c:pt>
                <c:pt idx="2">
                  <c:v>Брестская</c:v>
                </c:pt>
                <c:pt idx="3">
                  <c:v>Гродненская</c:v>
                </c:pt>
                <c:pt idx="4">
                  <c:v>Витебская</c:v>
                </c:pt>
                <c:pt idx="5">
                  <c:v>Гомельская</c:v>
                </c:pt>
                <c:pt idx="6">
                  <c:v>г.Минск</c:v>
                </c:pt>
              </c:strCache>
            </c:strRef>
          </c:cat>
          <c:val>
            <c:numRef>
              <c:f>Лист1!$B$2:$B$8</c:f>
              <c:numCache>
                <c:formatCode>General</c:formatCode>
                <c:ptCount val="7"/>
                <c:pt idx="0">
                  <c:v>61.6</c:v>
                </c:pt>
                <c:pt idx="1">
                  <c:v>60.3</c:v>
                </c:pt>
                <c:pt idx="2">
                  <c:v>59</c:v>
                </c:pt>
                <c:pt idx="3">
                  <c:v>54.9</c:v>
                </c:pt>
                <c:pt idx="4">
                  <c:v>47.1</c:v>
                </c:pt>
                <c:pt idx="5">
                  <c:v>46.6</c:v>
                </c:pt>
                <c:pt idx="6">
                  <c:v>29.5</c:v>
                </c:pt>
              </c:numCache>
            </c:numRef>
          </c:val>
          <c:extLst>
            <c:ext xmlns:c16="http://schemas.microsoft.com/office/drawing/2014/chart" uri="{C3380CC4-5D6E-409C-BE32-E72D297353CC}">
              <c16:uniqueId val="{00000000-C751-4462-8B1A-F5665161882E}"/>
            </c:ext>
          </c:extLst>
        </c:ser>
        <c:dLbls>
          <c:showLegendKey val="0"/>
          <c:showVal val="0"/>
          <c:showCatName val="0"/>
          <c:showSerName val="0"/>
          <c:showPercent val="0"/>
          <c:showBubbleSize val="0"/>
        </c:dLbls>
        <c:gapWidth val="150"/>
        <c:axId val="268948992"/>
        <c:axId val="222140032"/>
      </c:barChart>
      <c:catAx>
        <c:axId val="268948992"/>
        <c:scaling>
          <c:orientation val="minMax"/>
        </c:scaling>
        <c:delete val="0"/>
        <c:axPos val="b"/>
        <c:numFmt formatCode="General" sourceLinked="0"/>
        <c:majorTickMark val="out"/>
        <c:minorTickMark val="none"/>
        <c:tickLblPos val="nextTo"/>
        <c:crossAx val="222140032"/>
        <c:crosses val="autoZero"/>
        <c:auto val="1"/>
        <c:lblAlgn val="ctr"/>
        <c:lblOffset val="100"/>
        <c:noMultiLvlLbl val="0"/>
      </c:catAx>
      <c:valAx>
        <c:axId val="222140032"/>
        <c:scaling>
          <c:orientation val="minMax"/>
        </c:scaling>
        <c:delete val="1"/>
        <c:axPos val="l"/>
        <c:majorGridlines>
          <c:spPr>
            <a:ln>
              <a:noFill/>
            </a:ln>
          </c:spPr>
        </c:majorGridlines>
        <c:numFmt formatCode="General" sourceLinked="1"/>
        <c:majorTickMark val="out"/>
        <c:minorTickMark val="none"/>
        <c:tickLblPos val="nextTo"/>
        <c:crossAx val="26894899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Коэффициент частоты производственного травматизма со смертельным исходом</a:t>
            </a:r>
          </a:p>
        </c:rich>
      </c:tx>
      <c:overlay val="0"/>
    </c:title>
    <c:autoTitleDeleted val="0"/>
    <c:plotArea>
      <c:layout/>
      <c:barChart>
        <c:barDir val="col"/>
        <c:grouping val="clustered"/>
        <c:varyColors val="0"/>
        <c:ser>
          <c:idx val="0"/>
          <c:order val="0"/>
          <c:tx>
            <c:strRef>
              <c:f>Лист1!$B$1</c:f>
              <c:strCache>
                <c:ptCount val="1"/>
                <c:pt idx="0">
                  <c:v>Ряд 1</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Минская</c:v>
                </c:pt>
                <c:pt idx="1">
                  <c:v>Брестская</c:v>
                </c:pt>
                <c:pt idx="2">
                  <c:v>Гродненская</c:v>
                </c:pt>
                <c:pt idx="3">
                  <c:v>Могилевская</c:v>
                </c:pt>
                <c:pt idx="4">
                  <c:v>Гомельская</c:v>
                </c:pt>
                <c:pt idx="5">
                  <c:v>Витебская</c:v>
                </c:pt>
                <c:pt idx="6">
                  <c:v>г.Минск</c:v>
                </c:pt>
              </c:strCache>
            </c:strRef>
          </c:cat>
          <c:val>
            <c:numRef>
              <c:f>Лист1!$B$2:$B$8</c:f>
              <c:numCache>
                <c:formatCode>General</c:formatCode>
                <c:ptCount val="7"/>
                <c:pt idx="0">
                  <c:v>6.3</c:v>
                </c:pt>
                <c:pt idx="1">
                  <c:v>4.5999999999999996</c:v>
                </c:pt>
                <c:pt idx="2">
                  <c:v>3.7</c:v>
                </c:pt>
                <c:pt idx="3">
                  <c:v>3.5</c:v>
                </c:pt>
                <c:pt idx="4">
                  <c:v>2.9</c:v>
                </c:pt>
                <c:pt idx="5">
                  <c:v>2.2999999999999998</c:v>
                </c:pt>
                <c:pt idx="6">
                  <c:v>2.2000000000000002</c:v>
                </c:pt>
              </c:numCache>
            </c:numRef>
          </c:val>
          <c:extLst>
            <c:ext xmlns:c16="http://schemas.microsoft.com/office/drawing/2014/chart" uri="{C3380CC4-5D6E-409C-BE32-E72D297353CC}">
              <c16:uniqueId val="{00000000-8FCA-4A49-968A-6D8F883C2F92}"/>
            </c:ext>
          </c:extLst>
        </c:ser>
        <c:dLbls>
          <c:showLegendKey val="0"/>
          <c:showVal val="0"/>
          <c:showCatName val="0"/>
          <c:showSerName val="0"/>
          <c:showPercent val="0"/>
          <c:showBubbleSize val="0"/>
        </c:dLbls>
        <c:gapWidth val="150"/>
        <c:axId val="200158720"/>
        <c:axId val="222141760"/>
      </c:barChart>
      <c:catAx>
        <c:axId val="200158720"/>
        <c:scaling>
          <c:orientation val="minMax"/>
        </c:scaling>
        <c:delete val="0"/>
        <c:axPos val="b"/>
        <c:numFmt formatCode="General" sourceLinked="0"/>
        <c:majorTickMark val="out"/>
        <c:minorTickMark val="none"/>
        <c:tickLblPos val="nextTo"/>
        <c:crossAx val="222141760"/>
        <c:crosses val="autoZero"/>
        <c:auto val="1"/>
        <c:lblAlgn val="ctr"/>
        <c:lblOffset val="100"/>
        <c:noMultiLvlLbl val="0"/>
      </c:catAx>
      <c:valAx>
        <c:axId val="222141760"/>
        <c:scaling>
          <c:orientation val="minMax"/>
        </c:scaling>
        <c:delete val="1"/>
        <c:axPos val="l"/>
        <c:majorGridlines>
          <c:spPr>
            <a:ln>
              <a:noFill/>
            </a:ln>
          </c:spPr>
        </c:majorGridlines>
        <c:numFmt formatCode="General" sourceLinked="1"/>
        <c:majorTickMark val="out"/>
        <c:minorTickMark val="none"/>
        <c:tickLblPos val="nextTo"/>
        <c:crossAx val="20015872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 1 года</c:v>
                </c:pt>
                <c:pt idx="1">
                  <c:v>от года до 3 лет</c:v>
                </c:pt>
                <c:pt idx="2">
                  <c:v>от 3 до 5 лет</c:v>
                </c:pt>
                <c:pt idx="3">
                  <c:v>от 5 до 10 лет</c:v>
                </c:pt>
                <c:pt idx="4">
                  <c:v>от 10 до 20 лет</c:v>
                </c:pt>
                <c:pt idx="5">
                  <c:v>свыше 20 лет</c:v>
                </c:pt>
              </c:strCache>
            </c:strRef>
          </c:cat>
          <c:val>
            <c:numRef>
              <c:f>Лист1!$B$2:$B$7</c:f>
              <c:numCache>
                <c:formatCode>General</c:formatCode>
                <c:ptCount val="6"/>
                <c:pt idx="0">
                  <c:v>24.7</c:v>
                </c:pt>
                <c:pt idx="1">
                  <c:v>9</c:v>
                </c:pt>
                <c:pt idx="2">
                  <c:v>7.9</c:v>
                </c:pt>
                <c:pt idx="3">
                  <c:v>15.7</c:v>
                </c:pt>
                <c:pt idx="4">
                  <c:v>23.6</c:v>
                </c:pt>
                <c:pt idx="5">
                  <c:v>19.100000000000001</c:v>
                </c:pt>
              </c:numCache>
            </c:numRef>
          </c:val>
          <c:extLst>
            <c:ext xmlns:c16="http://schemas.microsoft.com/office/drawing/2014/chart" uri="{C3380CC4-5D6E-409C-BE32-E72D297353CC}">
              <c16:uniqueId val="{00000000-1066-4111-8E8D-BBC334A4C398}"/>
            </c:ext>
          </c:extLst>
        </c:ser>
        <c:ser>
          <c:idx val="1"/>
          <c:order val="1"/>
          <c:tx>
            <c:strRef>
              <c:f>Лист1!$C$1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 1 года</c:v>
                </c:pt>
                <c:pt idx="1">
                  <c:v>от года до 3 лет</c:v>
                </c:pt>
                <c:pt idx="2">
                  <c:v>от 3 до 5 лет</c:v>
                </c:pt>
                <c:pt idx="3">
                  <c:v>от 5 до 10 лет</c:v>
                </c:pt>
                <c:pt idx="4">
                  <c:v>от 10 до 20 лет</c:v>
                </c:pt>
                <c:pt idx="5">
                  <c:v>свыше 20 лет</c:v>
                </c:pt>
              </c:strCache>
            </c:strRef>
          </c:cat>
          <c:val>
            <c:numRef>
              <c:f>Лист1!$C$2:$C$7</c:f>
              <c:numCache>
                <c:formatCode>General</c:formatCode>
                <c:ptCount val="6"/>
                <c:pt idx="0">
                  <c:v>19.8</c:v>
                </c:pt>
                <c:pt idx="1">
                  <c:v>10.4</c:v>
                </c:pt>
                <c:pt idx="2">
                  <c:v>15.6</c:v>
                </c:pt>
                <c:pt idx="3">
                  <c:v>12.5</c:v>
                </c:pt>
                <c:pt idx="4">
                  <c:v>28.1</c:v>
                </c:pt>
                <c:pt idx="5">
                  <c:v>13.6</c:v>
                </c:pt>
              </c:numCache>
            </c:numRef>
          </c:val>
          <c:extLst>
            <c:ext xmlns:c16="http://schemas.microsoft.com/office/drawing/2014/chart" uri="{C3380CC4-5D6E-409C-BE32-E72D297353CC}">
              <c16:uniqueId val="{00000001-1066-4111-8E8D-BBC334A4C398}"/>
            </c:ext>
          </c:extLst>
        </c:ser>
        <c:dLbls>
          <c:showLegendKey val="0"/>
          <c:showVal val="0"/>
          <c:showCatName val="0"/>
          <c:showSerName val="0"/>
          <c:showPercent val="0"/>
          <c:showBubbleSize val="0"/>
        </c:dLbls>
        <c:gapWidth val="150"/>
        <c:axId val="268948480"/>
        <c:axId val="268878976"/>
      </c:barChart>
      <c:catAx>
        <c:axId val="268948480"/>
        <c:scaling>
          <c:orientation val="minMax"/>
        </c:scaling>
        <c:delete val="0"/>
        <c:axPos val="b"/>
        <c:numFmt formatCode="General" sourceLinked="0"/>
        <c:majorTickMark val="out"/>
        <c:minorTickMark val="none"/>
        <c:tickLblPos val="nextTo"/>
        <c:crossAx val="268878976"/>
        <c:crosses val="autoZero"/>
        <c:auto val="1"/>
        <c:lblAlgn val="ctr"/>
        <c:lblOffset val="100"/>
        <c:noMultiLvlLbl val="0"/>
      </c:catAx>
      <c:valAx>
        <c:axId val="268878976"/>
        <c:scaling>
          <c:orientation val="minMax"/>
        </c:scaling>
        <c:delete val="1"/>
        <c:axPos val="l"/>
        <c:majorGridlines>
          <c:spPr>
            <a:ln>
              <a:noFill/>
            </a:ln>
          </c:spPr>
        </c:majorGridlines>
        <c:numFmt formatCode="General" sourceLinked="1"/>
        <c:majorTickMark val="out"/>
        <c:minorTickMark val="none"/>
        <c:tickLblPos val="nextTo"/>
        <c:crossAx val="2689484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000144920535236E-2"/>
          <c:y val="0.11476834191655946"/>
          <c:w val="0.89279572640466731"/>
          <c:h val="0.48414274508246374"/>
        </c:manualLayout>
      </c:layout>
      <c:barChart>
        <c:barDir val="col"/>
        <c:grouping val="clustered"/>
        <c:varyColors val="0"/>
        <c:ser>
          <c:idx val="0"/>
          <c:order val="0"/>
          <c:tx>
            <c:strRef>
              <c:f>Лист1!$B$1</c:f>
              <c:strCache>
                <c:ptCount val="1"/>
                <c:pt idx="0">
                  <c:v>2020</c:v>
                </c:pt>
              </c:strCache>
            </c:strRef>
          </c:tx>
          <c:spPr>
            <a:solidFill>
              <a:srgbClr val="FF0000"/>
            </a:solidFill>
          </c:spPr>
          <c:invertIfNegative val="0"/>
          <c:dLbls>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по вине работодателя</c:v>
                </c:pt>
                <c:pt idx="1">
                  <c:v>смешанная ответственность</c:v>
                </c:pt>
                <c:pt idx="2">
                  <c:v>по вине работника</c:v>
                </c:pt>
                <c:pt idx="3">
                  <c:v>при отсутствии вины работодателя и работника</c:v>
                </c:pt>
              </c:strCache>
            </c:strRef>
          </c:cat>
          <c:val>
            <c:numRef>
              <c:f>Лист1!$B$2:$B$5</c:f>
              <c:numCache>
                <c:formatCode>General</c:formatCode>
                <c:ptCount val="4"/>
                <c:pt idx="0">
                  <c:v>27.1</c:v>
                </c:pt>
                <c:pt idx="1">
                  <c:v>22.9</c:v>
                </c:pt>
                <c:pt idx="2">
                  <c:v>30.2</c:v>
                </c:pt>
                <c:pt idx="3">
                  <c:v>19.8</c:v>
                </c:pt>
              </c:numCache>
            </c:numRef>
          </c:val>
          <c:extLst>
            <c:ext xmlns:c16="http://schemas.microsoft.com/office/drawing/2014/chart" uri="{C3380CC4-5D6E-409C-BE32-E72D297353CC}">
              <c16:uniqueId val="{00000000-2888-414A-82CC-812528B0AB51}"/>
            </c:ext>
          </c:extLst>
        </c:ser>
        <c:dLbls>
          <c:showLegendKey val="0"/>
          <c:showVal val="0"/>
          <c:showCatName val="0"/>
          <c:showSerName val="0"/>
          <c:showPercent val="0"/>
          <c:showBubbleSize val="0"/>
        </c:dLbls>
        <c:gapWidth val="150"/>
        <c:axId val="269164544"/>
        <c:axId val="268881856"/>
      </c:barChart>
      <c:catAx>
        <c:axId val="269164544"/>
        <c:scaling>
          <c:orientation val="minMax"/>
        </c:scaling>
        <c:delete val="0"/>
        <c:axPos val="b"/>
        <c:numFmt formatCode="General" sourceLinked="1"/>
        <c:majorTickMark val="out"/>
        <c:minorTickMark val="none"/>
        <c:tickLblPos val="nextTo"/>
        <c:txPr>
          <a:bodyPr/>
          <a:lstStyle/>
          <a:p>
            <a:pPr>
              <a:defRPr sz="1200"/>
            </a:pPr>
            <a:endParaRPr lang="en-US"/>
          </a:p>
        </c:txPr>
        <c:crossAx val="268881856"/>
        <c:crosses val="autoZero"/>
        <c:auto val="1"/>
        <c:lblAlgn val="ctr"/>
        <c:lblOffset val="100"/>
        <c:noMultiLvlLbl val="0"/>
      </c:catAx>
      <c:valAx>
        <c:axId val="268881856"/>
        <c:scaling>
          <c:orientation val="minMax"/>
        </c:scaling>
        <c:delete val="0"/>
        <c:axPos val="l"/>
        <c:numFmt formatCode="General" sourceLinked="1"/>
        <c:majorTickMark val="none"/>
        <c:minorTickMark val="none"/>
        <c:tickLblPos val="none"/>
        <c:crossAx val="269164544"/>
        <c:crosses val="autoZero"/>
        <c:crossBetween val="between"/>
      </c:valAx>
      <c:spPr>
        <a:noFill/>
        <a:ln w="25398">
          <a:noFill/>
        </a:ln>
      </c:spPr>
    </c:plotArea>
    <c:plotVisOnly val="1"/>
    <c:dispBlanksAs val="gap"/>
    <c:showDLblsOverMax val="0"/>
  </c:chart>
  <c:spPr>
    <a:ln>
      <a:noFill/>
    </a:ln>
  </c:spPr>
  <c:txPr>
    <a:bodyPr/>
    <a:lstStyle/>
    <a:p>
      <a:pPr>
        <a:defRPr sz="1800"/>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t>
        <a:bodyPr/>
        <a:lstStyle/>
        <a:p>
          <a:endParaRPr lang="ru-RU"/>
        </a:p>
      </dgm:t>
    </dgm:pt>
    <dgm:pt modelId="{F04BABA0-671C-49CC-978A-F64FFFF65269}">
      <dgm:prSet phldrT="[Текст]" custT="1"/>
      <dgm:spPr>
        <a:xfrm>
          <a:off x="2157429" y="0"/>
          <a:ext cx="2047067" cy="704497"/>
        </a:xfrm>
        <a:noFill/>
        <a:ln>
          <a:noFill/>
        </a:ln>
        <a:effectLst/>
        <a:sp3d/>
      </dgm:spPr>
      <dgm:t>
        <a:bodyPr/>
        <a:lstStyle/>
        <a:p>
          <a:r>
            <a:rPr lang="ru-RU" sz="1400" b="1"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a typeface="+mn-ea"/>
            <a:cs typeface="+mn-cs"/>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a:xfrm>
          <a:off x="4006030" y="669272"/>
          <a:ext cx="1830871" cy="774947"/>
        </a:xfrm>
        <a:noFill/>
        <a:ln>
          <a:noFill/>
        </a:ln>
        <a:effectLst/>
        <a:sp3d/>
      </dgm:spPr>
      <dgm:t>
        <a:bodyPr/>
        <a:lstStyle/>
        <a:p>
          <a:r>
            <a:rPr lang="ru-RU" sz="1400" b="1"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dirty="0">
            <a:solidFill>
              <a:srgbClr val="00B050"/>
            </a:solidFill>
            <a:latin typeface="Arial Narrow" pitchFamily="34" charset="0"/>
            <a:ea typeface="+mn-ea"/>
            <a:cs typeface="+mn-cs"/>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a:xfrm>
          <a:off x="4226027" y="1655569"/>
          <a:ext cx="1606295" cy="827784"/>
        </a:xfrm>
        <a:noFill/>
        <a:ln>
          <a:noFill/>
        </a:ln>
        <a:effectLst/>
        <a:sp3d/>
      </dgm:spPr>
      <dgm:t>
        <a:bodyPr/>
        <a:lstStyle/>
        <a:p>
          <a:r>
            <a:rPr lang="ru-RU" sz="1400" b="1"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dirty="0">
            <a:solidFill>
              <a:srgbClr val="0070C0"/>
            </a:solidFill>
            <a:latin typeface="Arial Narrow" pitchFamily="34" charset="0"/>
            <a:ea typeface="+mn-ea"/>
            <a:cs typeface="+mn-cs"/>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a:xfrm>
          <a:off x="3731642" y="2765153"/>
          <a:ext cx="2047356" cy="757334"/>
        </a:xfrm>
        <a:noFill/>
        <a:ln>
          <a:noFill/>
        </a:ln>
        <a:effectLst/>
        <a:sp3d/>
      </dgm:spPr>
      <dgm:t>
        <a:bodyPr/>
        <a:lstStyle/>
        <a:p>
          <a:r>
            <a:rPr lang="ru-RU" sz="1400" b="1"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a typeface="+mn-ea"/>
            <a:cs typeface="+mn-cs"/>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a:xfrm>
          <a:off x="685174" y="2747961"/>
          <a:ext cx="2029031" cy="757334"/>
        </a:xfrm>
        <a:noFill/>
        <a:ln>
          <a:noFill/>
        </a:ln>
        <a:effectLst/>
        <a:sp3d/>
      </dgm:spPr>
      <dgm:t>
        <a:bodyPr/>
        <a:lstStyle/>
        <a:p>
          <a:r>
            <a:rPr lang="ru-RU" sz="1400" b="1"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a typeface="+mn-ea"/>
            <a:cs typeface="+mn-cs"/>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a:xfrm>
          <a:off x="272094" y="1663631"/>
          <a:ext cx="1897774" cy="827784"/>
        </a:xfrm>
        <a:noFill/>
        <a:ln>
          <a:noFill/>
        </a:ln>
        <a:effectLst/>
        <a:sp3d/>
      </dgm:spPr>
      <dgm:t>
        <a:bodyPr/>
        <a:lstStyle/>
        <a:p>
          <a:r>
            <a:rPr lang="ru-RU" sz="1400" b="1"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a:xfrm>
          <a:off x="150860" y="663127"/>
          <a:ext cx="2573322" cy="774947"/>
        </a:xfrm>
        <a:noFill/>
        <a:ln>
          <a:noFill/>
        </a:ln>
        <a:effectLst/>
        <a:sp3d/>
      </dgm:spPr>
      <dgm:t>
        <a:bodyPr/>
        <a:lstStyle/>
        <a:p>
          <a:r>
            <a:rPr lang="ru-RU" sz="1400" b="1"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59F3CACC-10C3-422F-81EC-DC8C04820806}">
      <dgm:prSet/>
      <dgm:spPr/>
      <dgm:t>
        <a:bodyPr/>
        <a:lstStyle/>
        <a:p>
          <a:endParaRPr lang="ru-RU"/>
        </a:p>
      </dgm:t>
    </dgm:pt>
    <dgm:pt modelId="{DA3BE797-7F6A-4C36-8D2B-15C821502C5C}" type="parTrans" cxnId="{FEF5DAC1-AA13-4712-A5E9-1726344A4955}">
      <dgm:prSet/>
      <dgm:spPr/>
      <dgm:t>
        <a:bodyPr/>
        <a:lstStyle/>
        <a:p>
          <a:endParaRPr lang="ru-RU"/>
        </a:p>
      </dgm:t>
    </dgm:pt>
    <dgm:pt modelId="{F9829A16-A6CF-4929-949D-A53A8D4CBCB1}" type="sibTrans" cxnId="{FEF5DAC1-AA13-4712-A5E9-1726344A4955}">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t>
        <a:bodyPr/>
        <a:lstStyle/>
        <a:p>
          <a:endParaRPr lang="ru-RU"/>
        </a:p>
      </dgm:t>
    </dgm:pt>
    <dgm:pt modelId="{0478D0FB-A1DF-46ED-A60A-8712C77509C5}" type="pres">
      <dgm:prSet presAssocID="{F04BABA0-671C-49CC-978A-F64FFFF65269}" presName="circ1" presStyleLbl="vennNode1" presStyleIdx="0" presStyleCnt="7"/>
      <dgm:spPr>
        <a:xfrm>
          <a:off x="2671547" y="896825"/>
          <a:ext cx="1148894" cy="1149035"/>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a:prstGeom prst="rect">
          <a:avLst/>
        </a:prstGeom>
      </dgm:spPr>
      <dgm:t>
        <a:bodyPr/>
        <a:lstStyle/>
        <a:p>
          <a:endParaRPr lang="ru-RU"/>
        </a:p>
      </dgm:t>
    </dgm:pt>
    <dgm:pt modelId="{E4DF1BD2-F161-4A77-AF97-A05F90FC7377}" type="pres">
      <dgm:prSet presAssocID="{2E4E5919-DAE3-4913-A7EC-2780050D4DBD}" presName="circ2" presStyleLbl="vennNode1" presStyleIdx="1" presStyleCnt="7"/>
      <dgm:spPr>
        <a:xfrm>
          <a:off x="3008556" y="1058859"/>
          <a:ext cx="1148894" cy="1149035"/>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a:prstGeom prst="rect">
          <a:avLst/>
        </a:prstGeom>
      </dgm:spPr>
      <dgm:t>
        <a:bodyPr/>
        <a:lstStyle/>
        <a:p>
          <a:endParaRPr lang="ru-RU"/>
        </a:p>
      </dgm:t>
    </dgm:pt>
    <dgm:pt modelId="{1602EC57-8715-4488-9B8D-9BD12D6CBA85}" type="pres">
      <dgm:prSet presAssocID="{44BC4063-A9FA-4FF3-B6A0-27077AC33896}" presName="circ3" presStyleLbl="vennNode1" presStyleIdx="2" presStyleCnt="7"/>
      <dgm:spPr>
        <a:xfrm>
          <a:off x="3091372" y="1423437"/>
          <a:ext cx="1148894" cy="1149035"/>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a:prstGeom prst="rect">
          <a:avLst/>
        </a:prstGeom>
      </dgm:spPr>
      <dgm:t>
        <a:bodyPr/>
        <a:lstStyle/>
        <a:p>
          <a:endParaRPr lang="ru-RU"/>
        </a:p>
      </dgm:t>
    </dgm:pt>
    <dgm:pt modelId="{7A4E97BA-DA57-464E-9C4C-A7D2A403F8DA}" type="pres">
      <dgm:prSet presAssocID="{28724AE3-7870-4B03-9945-02E762779848}" presName="circ4" presStyleLbl="vennNode1" presStyleIdx="3" presStyleCnt="7"/>
      <dgm:spPr>
        <a:xfrm>
          <a:off x="2858243" y="1715803"/>
          <a:ext cx="1148894" cy="1149035"/>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a:prstGeom prst="rect">
          <a:avLst/>
        </a:prstGeom>
      </dgm:spPr>
      <dgm:t>
        <a:bodyPr/>
        <a:lstStyle/>
        <a:p>
          <a:endParaRPr lang="ru-RU"/>
        </a:p>
      </dgm:t>
    </dgm:pt>
    <dgm:pt modelId="{28DB43E5-9F76-4E66-A2E4-6854DA00B88F}" type="pres">
      <dgm:prSet presAssocID="{6DD2761F-F408-4B01-8305-F332494DDE8D}" presName="circ5" presStyleLbl="vennNode1" presStyleIdx="4" presStyleCnt="7"/>
      <dgm:spPr>
        <a:xfrm>
          <a:off x="2484852" y="1715803"/>
          <a:ext cx="1148894" cy="1149035"/>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gm:spPr>
      <dgm:t>
        <a:bodyPr/>
        <a:lstStyle/>
        <a:p>
          <a:endParaRPr lang="ru-RU"/>
        </a:p>
      </dgm:t>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a:prstGeom prst="rect">
          <a:avLst/>
        </a:prstGeom>
      </dgm:spPr>
      <dgm:t>
        <a:bodyPr/>
        <a:lstStyle/>
        <a:p>
          <a:endParaRPr lang="ru-RU"/>
        </a:p>
      </dgm:t>
    </dgm:pt>
    <dgm:pt modelId="{8B55700E-3E01-413C-B909-9AEA3FF766F2}" type="pres">
      <dgm:prSet presAssocID="{8E996CDC-556B-456D-989D-8B65F9B5AC86}" presName="circ6" presStyleLbl="vennNode1" presStyleIdx="5" presStyleCnt="7"/>
      <dgm:spPr>
        <a:xfrm>
          <a:off x="2251722" y="1423437"/>
          <a:ext cx="1148894" cy="1149035"/>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gm:spPr>
      <dgm:t>
        <a:bodyPr/>
        <a:lstStyle/>
        <a:p>
          <a:endParaRPr lang="ru-RU"/>
        </a:p>
      </dgm:t>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a:prstGeom prst="rect">
          <a:avLst/>
        </a:prstGeom>
      </dgm:spPr>
      <dgm:t>
        <a:bodyPr/>
        <a:lstStyle/>
        <a:p>
          <a:endParaRPr lang="ru-RU"/>
        </a:p>
      </dgm:t>
    </dgm:pt>
    <dgm:pt modelId="{3BF3D964-136B-416F-AEE6-79315B398170}" type="pres">
      <dgm:prSet presAssocID="{42CCB8C8-E04C-49C0-9225-AED9D1B69A2D}" presName="circ7" presStyleLbl="vennNode1" presStyleIdx="6" presStyleCnt="7"/>
      <dgm:spPr>
        <a:xfrm>
          <a:off x="2334538" y="1058859"/>
          <a:ext cx="1148894" cy="1149035"/>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gm:spPr>
      <dgm:t>
        <a:bodyPr/>
        <a:lstStyle/>
        <a:p>
          <a:endParaRPr lang="ru-RU"/>
        </a:p>
      </dgm:t>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a:prstGeom prst="rect">
          <a:avLst/>
        </a:prstGeom>
      </dgm:spPr>
      <dgm:t>
        <a:bodyPr/>
        <a:lstStyle/>
        <a:p>
          <a:endParaRPr lang="ru-RU"/>
        </a:p>
      </dgm:t>
    </dgm:pt>
  </dgm:ptLst>
  <dgm:cxnLst>
    <dgm:cxn modelId="{EA62819A-B4DE-4EF8-B918-C7D27FD3E4D2}" srcId="{EF5DF0D0-C297-4B40-809B-12A75BB03CAF}" destId="{42CCB8C8-E04C-49C0-9225-AED9D1B69A2D}" srcOrd="6" destOrd="0" parTransId="{625E9A65-8CFC-4400-B5F3-784FF0AF001F}" sibTransId="{1FB98C3E-6F32-4DE9-A5E7-F049C91B6CEB}"/>
    <dgm:cxn modelId="{6633290E-8C71-4771-BFA2-BE7D2F87FA66}" type="presOf" srcId="{EF5DF0D0-C297-4B40-809B-12A75BB03CAF}" destId="{12970724-A1B9-44F7-80D6-2C0B468D2E14}" srcOrd="0" destOrd="0" presId="urn:microsoft.com/office/officeart/2005/8/layout/venn1"/>
    <dgm:cxn modelId="{07D63A62-6CE5-4A32-82CB-98A5A4EFE864}" type="presOf" srcId="{44BC4063-A9FA-4FF3-B6A0-27077AC33896}" destId="{51BCEFAA-BDC5-4703-8DFB-70CD10A1A261}" srcOrd="0" destOrd="0" presId="urn:microsoft.com/office/officeart/2005/8/layout/venn1"/>
    <dgm:cxn modelId="{8F9BFF8F-39E5-44DE-8746-2D2BC3DCC7E3}" type="presOf" srcId="{6DD2761F-F408-4B01-8305-F332494DDE8D}" destId="{3EA6476C-C2FB-4C36-9DAE-BF56137045BF}" srcOrd="0" destOrd="0" presId="urn:microsoft.com/office/officeart/2005/8/layout/venn1"/>
    <dgm:cxn modelId="{3024269C-7DE5-41F3-91E9-16F9A5A88489}" type="presOf" srcId="{42CCB8C8-E04C-49C0-9225-AED9D1B69A2D}" destId="{0D58CCCD-B3BB-436D-8408-3FB438188A87}"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F495DFE3-E29C-4F30-965C-8E947721E9FC}" type="presOf" srcId="{2E4E5919-DAE3-4913-A7EC-2780050D4DBD}" destId="{B231A005-5B88-4723-B844-3EE2DA725F1B}" srcOrd="0" destOrd="0" presId="urn:microsoft.com/office/officeart/2005/8/layout/venn1"/>
    <dgm:cxn modelId="{7CB31B2F-473A-4274-AC27-AFE11C7E2C95}" type="presOf" srcId="{F04BABA0-671C-49CC-978A-F64FFFF65269}" destId="{AB48FDA3-CDCD-45C2-834B-D2376AC76E0D}"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B5A23721-AC15-4031-AD93-8599F83F559C}" type="presOf" srcId="{8E996CDC-556B-456D-989D-8B65F9B5AC86}" destId="{05D14904-6AF7-4392-8AD6-595C6E7FE55A}" srcOrd="0" destOrd="0" presId="urn:microsoft.com/office/officeart/2005/8/layout/venn1"/>
    <dgm:cxn modelId="{6C49AF59-66E6-41B5-8B12-684BEC7653C4}" srcId="{EF5DF0D0-C297-4B40-809B-12A75BB03CAF}" destId="{6DD2761F-F408-4B01-8305-F332494DDE8D}" srcOrd="4" destOrd="0" parTransId="{E7F23D97-4965-41F5-ADB3-356FF0A5220C}" sibTransId="{72046963-976F-4B89-B7D1-2BA93D17BC78}"/>
    <dgm:cxn modelId="{B2472ADD-E22E-4D7D-82DB-6F551F70804B}" type="presOf" srcId="{28724AE3-7870-4B03-9945-02E762779848}" destId="{C4C3D02F-7FFE-4477-90D4-BECC5AFE28D1}" srcOrd="0" destOrd="0" presId="urn:microsoft.com/office/officeart/2005/8/layout/venn1"/>
    <dgm:cxn modelId="{4AF81137-8DBB-487A-8C53-C2FB8EF71848}" srcId="{EF5DF0D0-C297-4B40-809B-12A75BB03CAF}" destId="{2E4E5919-DAE3-4913-A7EC-2780050D4DBD}" srcOrd="1" destOrd="0" parTransId="{244AC714-8FDD-4BC8-8F06-1973B8FB2470}" sibTransId="{A9251776-37A1-4273-9291-56A6BEA249E4}"/>
    <dgm:cxn modelId="{468330FF-B873-4143-8C87-9122CE4D75D9}" srcId="{EF5DF0D0-C297-4B40-809B-12A75BB03CAF}" destId="{28724AE3-7870-4B03-9945-02E762779848}" srcOrd="3" destOrd="0" parTransId="{102168F2-E391-46DC-B3FA-C4DAE7FBA382}" sibTransId="{9F7364E2-EBE1-47A8-8D49-C905481D6018}"/>
    <dgm:cxn modelId="{FEF5DAC1-AA13-4712-A5E9-1726344A4955}" srcId="{EF5DF0D0-C297-4B40-809B-12A75BB03CAF}" destId="{59F3CACC-10C3-422F-81EC-DC8C04820806}" srcOrd="7" destOrd="0" parTransId="{DA3BE797-7F6A-4C36-8D2B-15C821502C5C}" sibTransId="{F9829A16-A6CF-4929-949D-A53A8D4CBCB1}"/>
    <dgm:cxn modelId="{2AA377DE-57EF-43D4-A6FD-FD4A840E8CE8}" srcId="{EF5DF0D0-C297-4B40-809B-12A75BB03CAF}" destId="{44BC4063-A9FA-4FF3-B6A0-27077AC33896}" srcOrd="2" destOrd="0" parTransId="{2C3FB71B-282E-4970-B29C-65EBC7842844}" sibTransId="{DB9B7E52-4CDE-45F6-BC46-205150DB694E}"/>
    <dgm:cxn modelId="{A371992C-B18F-4873-9E79-6342743A7514}" type="presParOf" srcId="{12970724-A1B9-44F7-80D6-2C0B468D2E14}" destId="{0478D0FB-A1DF-46ED-A60A-8712C77509C5}" srcOrd="0" destOrd="0" presId="urn:microsoft.com/office/officeart/2005/8/layout/venn1"/>
    <dgm:cxn modelId="{8A1E2B20-F7CD-4562-B0AC-95441A80AFB6}" type="presParOf" srcId="{12970724-A1B9-44F7-80D6-2C0B468D2E14}" destId="{AB48FDA3-CDCD-45C2-834B-D2376AC76E0D}" srcOrd="1" destOrd="0" presId="urn:microsoft.com/office/officeart/2005/8/layout/venn1"/>
    <dgm:cxn modelId="{5978CF66-D22B-4D9D-B204-DB1A1C68316F}" type="presParOf" srcId="{12970724-A1B9-44F7-80D6-2C0B468D2E14}" destId="{E4DF1BD2-F161-4A77-AF97-A05F90FC7377}" srcOrd="2" destOrd="0" presId="urn:microsoft.com/office/officeart/2005/8/layout/venn1"/>
    <dgm:cxn modelId="{E00CA83B-299E-4253-A01F-79C33ADE62E0}" type="presParOf" srcId="{12970724-A1B9-44F7-80D6-2C0B468D2E14}" destId="{B231A005-5B88-4723-B844-3EE2DA725F1B}" srcOrd="3" destOrd="0" presId="urn:microsoft.com/office/officeart/2005/8/layout/venn1"/>
    <dgm:cxn modelId="{6B215600-F145-42BF-AA28-BEAC1F04CFD5}" type="presParOf" srcId="{12970724-A1B9-44F7-80D6-2C0B468D2E14}" destId="{1602EC57-8715-4488-9B8D-9BD12D6CBA85}" srcOrd="4" destOrd="0" presId="urn:microsoft.com/office/officeart/2005/8/layout/venn1"/>
    <dgm:cxn modelId="{543D7260-9DA1-4785-BE08-66981578C819}" type="presParOf" srcId="{12970724-A1B9-44F7-80D6-2C0B468D2E14}" destId="{51BCEFAA-BDC5-4703-8DFB-70CD10A1A261}" srcOrd="5" destOrd="0" presId="urn:microsoft.com/office/officeart/2005/8/layout/venn1"/>
    <dgm:cxn modelId="{CCC8FA8F-A9A3-49E0-9759-27A2340A762F}" type="presParOf" srcId="{12970724-A1B9-44F7-80D6-2C0B468D2E14}" destId="{7A4E97BA-DA57-464E-9C4C-A7D2A403F8DA}" srcOrd="6" destOrd="0" presId="urn:microsoft.com/office/officeart/2005/8/layout/venn1"/>
    <dgm:cxn modelId="{7DB2F56C-95C7-4150-B777-17430E85E247}" type="presParOf" srcId="{12970724-A1B9-44F7-80D6-2C0B468D2E14}" destId="{C4C3D02F-7FFE-4477-90D4-BECC5AFE28D1}" srcOrd="7" destOrd="0" presId="urn:microsoft.com/office/officeart/2005/8/layout/venn1"/>
    <dgm:cxn modelId="{665B9449-8A5B-4A13-BE07-DC49273E28BC}" type="presParOf" srcId="{12970724-A1B9-44F7-80D6-2C0B468D2E14}" destId="{28DB43E5-9F76-4E66-A2E4-6854DA00B88F}" srcOrd="8" destOrd="0" presId="urn:microsoft.com/office/officeart/2005/8/layout/venn1"/>
    <dgm:cxn modelId="{FB848460-A7CF-4A68-9DE4-5FAA450E3BAB}" type="presParOf" srcId="{12970724-A1B9-44F7-80D6-2C0B468D2E14}" destId="{3EA6476C-C2FB-4C36-9DAE-BF56137045BF}" srcOrd="9" destOrd="0" presId="urn:microsoft.com/office/officeart/2005/8/layout/venn1"/>
    <dgm:cxn modelId="{821C175A-89BB-4130-A5D8-872450ECEAC5}" type="presParOf" srcId="{12970724-A1B9-44F7-80D6-2C0B468D2E14}" destId="{8B55700E-3E01-413C-B909-9AEA3FF766F2}" srcOrd="10" destOrd="0" presId="urn:microsoft.com/office/officeart/2005/8/layout/venn1"/>
    <dgm:cxn modelId="{F6A3D3C6-68E0-4C2C-A10D-E378E5EA41D3}" type="presParOf" srcId="{12970724-A1B9-44F7-80D6-2C0B468D2E14}" destId="{05D14904-6AF7-4392-8AD6-595C6E7FE55A}" srcOrd="11" destOrd="0" presId="urn:microsoft.com/office/officeart/2005/8/layout/venn1"/>
    <dgm:cxn modelId="{3222492B-2B90-4669-98EB-EC7192622090}" type="presParOf" srcId="{12970724-A1B9-44F7-80D6-2C0B468D2E14}" destId="{3BF3D964-136B-416F-AEE6-79315B398170}" srcOrd="12" destOrd="0" presId="urn:microsoft.com/office/officeart/2005/8/layout/venn1"/>
    <dgm:cxn modelId="{D3C23C8C-5D07-4BC9-975D-B0A6C6134ABF}"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8D0FB-A1DF-46ED-A60A-8712C77509C5}">
      <dsp:nvSpPr>
        <dsp:cNvPr id="0" name=""/>
        <dsp:cNvSpPr/>
      </dsp:nvSpPr>
      <dsp:spPr>
        <a:xfrm>
          <a:off x="2671563" y="896789"/>
          <a:ext cx="1148848" cy="1148988"/>
        </a:xfrm>
        <a:prstGeom prst="ellipse">
          <a:avLst/>
        </a:prstGeom>
        <a:gradFill rotWithShape="0">
          <a:gsLst>
            <a:gs pos="0">
              <a:srgbClr val="9BBB59">
                <a:alpha val="50000"/>
                <a:hueOff val="0"/>
                <a:satOff val="0"/>
                <a:lumOff val="0"/>
                <a:alphaOff val="0"/>
                <a:shade val="51000"/>
                <a:satMod val="130000"/>
              </a:srgbClr>
            </a:gs>
            <a:gs pos="80000">
              <a:srgbClr val="9BBB59">
                <a:alpha val="50000"/>
                <a:hueOff val="0"/>
                <a:satOff val="0"/>
                <a:lumOff val="0"/>
                <a:alphaOff val="0"/>
                <a:shade val="93000"/>
                <a:satMod val="130000"/>
              </a:srgbClr>
            </a:gs>
            <a:gs pos="100000">
              <a:srgbClr val="9BBB59">
                <a:alpha val="50000"/>
                <a:hueOff val="0"/>
                <a:satOff val="0"/>
                <a:lumOff val="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465" y="0"/>
          <a:ext cx="2046983" cy="70446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ea typeface="+mn-ea"/>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a typeface="+mn-ea"/>
            <a:cs typeface="+mn-cs"/>
          </a:endParaRPr>
        </a:p>
      </dsp:txBody>
      <dsp:txXfrm>
        <a:off x="2157465" y="0"/>
        <a:ext cx="2046983" cy="704469"/>
      </dsp:txXfrm>
    </dsp:sp>
    <dsp:sp modelId="{E4DF1BD2-F161-4A77-AF97-A05F90FC7377}">
      <dsp:nvSpPr>
        <dsp:cNvPr id="0" name=""/>
        <dsp:cNvSpPr/>
      </dsp:nvSpPr>
      <dsp:spPr>
        <a:xfrm>
          <a:off x="3008558" y="1058816"/>
          <a:ext cx="1148848" cy="1148988"/>
        </a:xfrm>
        <a:prstGeom prst="ellipse">
          <a:avLst/>
        </a:prstGeom>
        <a:gradFill rotWithShape="0">
          <a:gsLst>
            <a:gs pos="0">
              <a:srgbClr val="9BBB59">
                <a:alpha val="50000"/>
                <a:hueOff val="1875044"/>
                <a:satOff val="-2813"/>
                <a:lumOff val="-458"/>
                <a:alphaOff val="0"/>
                <a:shade val="51000"/>
                <a:satMod val="130000"/>
              </a:srgbClr>
            </a:gs>
            <a:gs pos="80000">
              <a:srgbClr val="9BBB59">
                <a:alpha val="50000"/>
                <a:hueOff val="1875044"/>
                <a:satOff val="-2813"/>
                <a:lumOff val="-458"/>
                <a:alphaOff val="0"/>
                <a:shade val="93000"/>
                <a:satMod val="130000"/>
              </a:srgbClr>
            </a:gs>
            <a:gs pos="100000">
              <a:srgbClr val="9BBB59">
                <a:alpha val="50000"/>
                <a:hueOff val="1875044"/>
                <a:satOff val="-2813"/>
                <a:lumOff val="-45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992" y="669245"/>
          <a:ext cx="183079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ea typeface="+mn-ea"/>
              <a:cs typeface="Times New Roman" pitchFamily="18" charset="0"/>
            </a:rPr>
            <a:t>2. Выявлять угрозы – контролировать риски</a:t>
          </a:r>
          <a:endParaRPr lang="ru-RU" sz="1400" b="1" kern="1200" dirty="0">
            <a:solidFill>
              <a:srgbClr val="00B050"/>
            </a:solidFill>
            <a:latin typeface="Arial Narrow" pitchFamily="34" charset="0"/>
            <a:ea typeface="+mn-ea"/>
            <a:cs typeface="+mn-cs"/>
          </a:endParaRPr>
        </a:p>
      </dsp:txBody>
      <dsp:txXfrm>
        <a:off x="4005992" y="669245"/>
        <a:ext cx="1830797" cy="774915"/>
      </dsp:txXfrm>
    </dsp:sp>
    <dsp:sp modelId="{1602EC57-8715-4488-9B8D-9BD12D6CBA85}">
      <dsp:nvSpPr>
        <dsp:cNvPr id="0" name=""/>
        <dsp:cNvSpPr/>
      </dsp:nvSpPr>
      <dsp:spPr>
        <a:xfrm>
          <a:off x="3091371" y="1423379"/>
          <a:ext cx="1148848" cy="1148988"/>
        </a:xfrm>
        <a:prstGeom prst="ellipse">
          <a:avLst/>
        </a:prstGeom>
        <a:gradFill rotWithShape="0">
          <a:gsLst>
            <a:gs pos="0">
              <a:srgbClr val="9BBB59">
                <a:alpha val="50000"/>
                <a:hueOff val="3750088"/>
                <a:satOff val="-5627"/>
                <a:lumOff val="-915"/>
                <a:alphaOff val="0"/>
                <a:shade val="51000"/>
                <a:satMod val="130000"/>
              </a:srgbClr>
            </a:gs>
            <a:gs pos="80000">
              <a:srgbClr val="9BBB59">
                <a:alpha val="50000"/>
                <a:hueOff val="3750088"/>
                <a:satOff val="-5627"/>
                <a:lumOff val="-915"/>
                <a:alphaOff val="0"/>
                <a:shade val="93000"/>
                <a:satMod val="130000"/>
              </a:srgbClr>
            </a:gs>
            <a:gs pos="100000">
              <a:srgbClr val="9BBB59">
                <a:alpha val="50000"/>
                <a:hueOff val="3750088"/>
                <a:satOff val="-5627"/>
                <a:lumOff val="-91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980" y="1655502"/>
          <a:ext cx="1606230"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ea typeface="+mn-ea"/>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a typeface="+mn-ea"/>
            <a:cs typeface="+mn-cs"/>
          </a:endParaRPr>
        </a:p>
      </dsp:txBody>
      <dsp:txXfrm>
        <a:off x="4225980" y="1655502"/>
        <a:ext cx="1606230" cy="827751"/>
      </dsp:txXfrm>
    </dsp:sp>
    <dsp:sp modelId="{7A4E97BA-DA57-464E-9C4C-A7D2A403F8DA}">
      <dsp:nvSpPr>
        <dsp:cNvPr id="0" name=""/>
        <dsp:cNvSpPr/>
      </dsp:nvSpPr>
      <dsp:spPr>
        <a:xfrm>
          <a:off x="2858251" y="1715734"/>
          <a:ext cx="1148848" cy="1148988"/>
        </a:xfrm>
        <a:prstGeom prst="ellipse">
          <a:avLst/>
        </a:prstGeom>
        <a:gradFill rotWithShape="0">
          <a:gsLst>
            <a:gs pos="0">
              <a:srgbClr val="9BBB59">
                <a:alpha val="50000"/>
                <a:hueOff val="5625132"/>
                <a:satOff val="-8440"/>
                <a:lumOff val="-1373"/>
                <a:alphaOff val="0"/>
                <a:shade val="51000"/>
                <a:satMod val="130000"/>
              </a:srgbClr>
            </a:gs>
            <a:gs pos="80000">
              <a:srgbClr val="9BBB59">
                <a:alpha val="50000"/>
                <a:hueOff val="5625132"/>
                <a:satOff val="-8440"/>
                <a:lumOff val="-1373"/>
                <a:alphaOff val="0"/>
                <a:shade val="93000"/>
                <a:satMod val="130000"/>
              </a:srgbClr>
            </a:gs>
            <a:gs pos="100000">
              <a:srgbClr val="9BBB59">
                <a:alpha val="50000"/>
                <a:hueOff val="5625132"/>
                <a:satOff val="-8440"/>
                <a:lumOff val="-1373"/>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615" y="2765040"/>
          <a:ext cx="2047273"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ea typeface="+mn-ea"/>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a typeface="+mn-ea"/>
            <a:cs typeface="+mn-cs"/>
          </a:endParaRPr>
        </a:p>
      </dsp:txBody>
      <dsp:txXfrm>
        <a:off x="3731615" y="2765040"/>
        <a:ext cx="2047273" cy="757304"/>
      </dsp:txXfrm>
    </dsp:sp>
    <dsp:sp modelId="{28DB43E5-9F76-4E66-A2E4-6854DA00B88F}">
      <dsp:nvSpPr>
        <dsp:cNvPr id="0" name=""/>
        <dsp:cNvSpPr/>
      </dsp:nvSpPr>
      <dsp:spPr>
        <a:xfrm>
          <a:off x="2484875" y="1715734"/>
          <a:ext cx="1148848" cy="1148988"/>
        </a:xfrm>
        <a:prstGeom prst="ellipse">
          <a:avLst/>
        </a:prstGeom>
        <a:gradFill rotWithShape="0">
          <a:gsLst>
            <a:gs pos="0">
              <a:srgbClr val="9BBB59">
                <a:alpha val="50000"/>
                <a:hueOff val="7500176"/>
                <a:satOff val="-11253"/>
                <a:lumOff val="-1830"/>
                <a:alphaOff val="0"/>
                <a:shade val="51000"/>
                <a:satMod val="130000"/>
              </a:srgbClr>
            </a:gs>
            <a:gs pos="80000">
              <a:srgbClr val="9BBB59">
                <a:alpha val="50000"/>
                <a:hueOff val="7500176"/>
                <a:satOff val="-11253"/>
                <a:lumOff val="-1830"/>
                <a:alphaOff val="0"/>
                <a:shade val="93000"/>
                <a:satMod val="130000"/>
              </a:srgbClr>
            </a:gs>
            <a:gs pos="100000">
              <a:srgbClr val="9BBB59">
                <a:alpha val="50000"/>
                <a:hueOff val="7500176"/>
                <a:satOff val="-11253"/>
                <a:lumOff val="-1830"/>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271" y="2747850"/>
          <a:ext cx="2028949" cy="75730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ea typeface="+mn-ea"/>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a typeface="+mn-ea"/>
            <a:cs typeface="+mn-cs"/>
          </a:endParaRPr>
        </a:p>
      </dsp:txBody>
      <dsp:txXfrm>
        <a:off x="685271" y="2747850"/>
        <a:ext cx="2028949" cy="757304"/>
      </dsp:txXfrm>
    </dsp:sp>
    <dsp:sp modelId="{8B55700E-3E01-413C-B909-9AEA3FF766F2}">
      <dsp:nvSpPr>
        <dsp:cNvPr id="0" name=""/>
        <dsp:cNvSpPr/>
      </dsp:nvSpPr>
      <dsp:spPr>
        <a:xfrm>
          <a:off x="2251755" y="1423379"/>
          <a:ext cx="1148848" cy="1148988"/>
        </a:xfrm>
        <a:prstGeom prst="ellipse">
          <a:avLst/>
        </a:prstGeom>
        <a:gradFill rotWithShape="0">
          <a:gsLst>
            <a:gs pos="0">
              <a:srgbClr val="9BBB59">
                <a:alpha val="50000"/>
                <a:hueOff val="9375220"/>
                <a:satOff val="-14067"/>
                <a:lumOff val="-2288"/>
                <a:alphaOff val="0"/>
                <a:shade val="51000"/>
                <a:satMod val="130000"/>
              </a:srgbClr>
            </a:gs>
            <a:gs pos="80000">
              <a:srgbClr val="9BBB59">
                <a:alpha val="50000"/>
                <a:hueOff val="9375220"/>
                <a:satOff val="-14067"/>
                <a:lumOff val="-2288"/>
                <a:alphaOff val="0"/>
                <a:shade val="93000"/>
                <a:satMod val="130000"/>
              </a:srgbClr>
            </a:gs>
            <a:gs pos="100000">
              <a:srgbClr val="9BBB59">
                <a:alpha val="50000"/>
                <a:hueOff val="9375220"/>
                <a:satOff val="-14067"/>
                <a:lumOff val="-2288"/>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207" y="1663564"/>
          <a:ext cx="1897697" cy="82775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504D">
                  <a:lumMod val="75000"/>
                </a:srgbClr>
              </a:solidFill>
              <a:latin typeface="Arial Narrow" pitchFamily="34" charset="0"/>
              <a:ea typeface="+mn-ea"/>
              <a:cs typeface="Times New Roman" pitchFamily="18" charset="0"/>
            </a:rPr>
            <a:t>6. Повышать квалификацию – развивать профессиональные навыки</a:t>
          </a:r>
        </a:p>
      </dsp:txBody>
      <dsp:txXfrm>
        <a:off x="272207" y="1663564"/>
        <a:ext cx="1897697" cy="827751"/>
      </dsp:txXfrm>
    </dsp:sp>
    <dsp:sp modelId="{3BF3D964-136B-416F-AEE6-79315B398170}">
      <dsp:nvSpPr>
        <dsp:cNvPr id="0" name=""/>
        <dsp:cNvSpPr/>
      </dsp:nvSpPr>
      <dsp:spPr>
        <a:xfrm>
          <a:off x="2334568" y="1058816"/>
          <a:ext cx="1148848" cy="1148988"/>
        </a:xfrm>
        <a:prstGeom prst="ellipse">
          <a:avLst/>
        </a:prstGeom>
        <a:gradFill rotWithShape="0">
          <a:gsLst>
            <a:gs pos="0">
              <a:srgbClr val="9BBB59">
                <a:alpha val="50000"/>
                <a:hueOff val="11250264"/>
                <a:satOff val="-16880"/>
                <a:lumOff val="-2745"/>
                <a:alphaOff val="0"/>
                <a:shade val="51000"/>
                <a:satMod val="130000"/>
              </a:srgbClr>
            </a:gs>
            <a:gs pos="80000">
              <a:srgbClr val="9BBB59">
                <a:alpha val="50000"/>
                <a:hueOff val="11250264"/>
                <a:satOff val="-16880"/>
                <a:lumOff val="-2745"/>
                <a:alphaOff val="0"/>
                <a:shade val="93000"/>
                <a:satMod val="130000"/>
              </a:srgbClr>
            </a:gs>
            <a:gs pos="100000">
              <a:srgbClr val="9BBB59">
                <a:alpha val="50000"/>
                <a:hueOff val="11250264"/>
                <a:satOff val="-16880"/>
                <a:lumOff val="-2745"/>
                <a:alphaOff val="0"/>
                <a:shade val="94000"/>
                <a:satMod val="135000"/>
              </a:srgb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0978" y="663100"/>
          <a:ext cx="2573217" cy="77491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9BBB59">
                  <a:lumMod val="75000"/>
                </a:srgbClr>
              </a:solidFill>
              <a:latin typeface="Arial Narrow" pitchFamily="34" charset="0"/>
              <a:ea typeface="+mn-ea"/>
              <a:cs typeface="Times New Roman" pitchFamily="18" charset="0"/>
            </a:rPr>
            <a:t>7. Инвестировать в кадры – мотивировать посредством участия</a:t>
          </a:r>
        </a:p>
      </dsp:txBody>
      <dsp:txXfrm>
        <a:off x="150978" y="663100"/>
        <a:ext cx="2573217" cy="7749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Tesla</cp:lastModifiedBy>
  <cp:revision>2</cp:revision>
  <dcterms:created xsi:type="dcterms:W3CDTF">2021-04-27T05:41:00Z</dcterms:created>
  <dcterms:modified xsi:type="dcterms:W3CDTF">2021-04-27T05:41:00Z</dcterms:modified>
</cp:coreProperties>
</file>